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8EFD3" w14:textId="69A93F0D" w:rsidR="009142E5" w:rsidRDefault="00DA3392" w:rsidP="00DA3392">
      <w:pPr>
        <w:tabs>
          <w:tab w:val="left" w:pos="7371"/>
        </w:tabs>
        <w:ind w:right="-619"/>
        <w:jc w:val="right"/>
      </w:pPr>
      <w:r>
        <w:rPr>
          <w:noProof/>
          <w:lang w:eastAsia="en-GB"/>
        </w:rPr>
        <w:drawing>
          <wp:inline distT="0" distB="0" distL="0" distR="0" wp14:anchorId="1CE4C332" wp14:editId="0F21171B">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p w14:paraId="05AFB333" w14:textId="77777777" w:rsidR="009142E5" w:rsidRPr="009142E5" w:rsidRDefault="009142E5" w:rsidP="005D4C4D">
      <w:pPr>
        <w:tabs>
          <w:tab w:val="left" w:pos="2160"/>
        </w:tabs>
        <w:rPr>
          <w:rFonts w:cs="Arial"/>
          <w:bCs/>
        </w:rPr>
      </w:pPr>
    </w:p>
    <w:p w14:paraId="407A58EF" w14:textId="77777777"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14:paraId="30B2A583" w14:textId="77777777" w:rsidR="005D4C4D" w:rsidRDefault="005D4C4D" w:rsidP="005D4C4D">
      <w:pPr>
        <w:rPr>
          <w:rFonts w:cs="Arial"/>
          <w:b/>
          <w:bCs/>
        </w:rPr>
      </w:pPr>
    </w:p>
    <w:p w14:paraId="50846084" w14:textId="34194BC8" w:rsidR="005D4C4D" w:rsidRDefault="005D4C4D" w:rsidP="00516995">
      <w:pPr>
        <w:tabs>
          <w:tab w:val="left" w:pos="2160"/>
          <w:tab w:val="left" w:pos="6300"/>
          <w:tab w:val="left" w:pos="7380"/>
        </w:tabs>
        <w:rPr>
          <w:rFonts w:cs="Arial"/>
          <w:b/>
          <w:bCs/>
        </w:rPr>
      </w:pPr>
      <w:r>
        <w:rPr>
          <w:rFonts w:cs="Arial"/>
          <w:b/>
          <w:bCs/>
        </w:rPr>
        <w:t>Date:</w:t>
      </w:r>
      <w:r>
        <w:rPr>
          <w:rFonts w:cs="Arial"/>
          <w:b/>
          <w:bCs/>
        </w:rPr>
        <w:tab/>
      </w:r>
      <w:r w:rsidR="003B4256">
        <w:rPr>
          <w:rFonts w:cs="Arial"/>
          <w:b/>
          <w:bCs/>
        </w:rPr>
        <w:t>30 July 2020</w:t>
      </w:r>
    </w:p>
    <w:p w14:paraId="01777E33" w14:textId="77777777" w:rsidR="003B4256" w:rsidRDefault="003B4256" w:rsidP="00516995">
      <w:pPr>
        <w:tabs>
          <w:tab w:val="left" w:pos="2160"/>
          <w:tab w:val="left" w:pos="6300"/>
          <w:tab w:val="left" w:pos="7380"/>
        </w:tabs>
        <w:rPr>
          <w:rFonts w:cs="Arial"/>
          <w:b/>
          <w:bCs/>
        </w:rPr>
      </w:pPr>
    </w:p>
    <w:p w14:paraId="603120A0" w14:textId="63973E89" w:rsidR="005D4C4D" w:rsidRDefault="00DA3392" w:rsidP="00DA3392">
      <w:pPr>
        <w:tabs>
          <w:tab w:val="left" w:pos="2127"/>
        </w:tabs>
        <w:rPr>
          <w:rFonts w:cs="Arial"/>
          <w:b/>
          <w:bCs/>
        </w:rPr>
      </w:pPr>
      <w:r>
        <w:rPr>
          <w:rFonts w:cs="Arial"/>
          <w:b/>
          <w:bCs/>
        </w:rPr>
        <w:t>Report of:</w:t>
      </w:r>
      <w:r>
        <w:rPr>
          <w:rFonts w:cs="Arial"/>
          <w:b/>
          <w:bCs/>
        </w:rPr>
        <w:tab/>
      </w:r>
      <w:r w:rsidR="005D4C4D">
        <w:rPr>
          <w:rFonts w:cs="Arial"/>
          <w:b/>
          <w:bCs/>
        </w:rPr>
        <w:t>Head of Financ</w:t>
      </w:r>
      <w:r w:rsidR="00AF7455">
        <w:rPr>
          <w:rFonts w:cs="Arial"/>
          <w:b/>
          <w:bCs/>
        </w:rPr>
        <w:t>ial Services</w:t>
      </w:r>
    </w:p>
    <w:p w14:paraId="57BD7982" w14:textId="77777777" w:rsidR="005D4C4D" w:rsidRDefault="005D4C4D" w:rsidP="005D4C4D">
      <w:pPr>
        <w:tabs>
          <w:tab w:val="left" w:pos="2160"/>
        </w:tabs>
        <w:rPr>
          <w:rFonts w:cs="Arial"/>
          <w:b/>
          <w:bCs/>
        </w:rPr>
      </w:pPr>
    </w:p>
    <w:p w14:paraId="1AEB5E4C" w14:textId="5A691119" w:rsidR="005D4C4D" w:rsidRDefault="005D4C4D" w:rsidP="003979BE">
      <w:pPr>
        <w:pStyle w:val="Heading1"/>
      </w:pPr>
      <w:r>
        <w:t xml:space="preserve">Title of Report: </w:t>
      </w:r>
      <w:r>
        <w:tab/>
      </w:r>
      <w:r w:rsidR="0018188C">
        <w:t xml:space="preserve">Risk Management </w:t>
      </w:r>
      <w:r w:rsidR="0049003B">
        <w:t>Reporting as</w:t>
      </w:r>
      <w:r w:rsidR="0039667C">
        <w:t xml:space="preserve"> at </w:t>
      </w:r>
      <w:r w:rsidR="00F865CD">
        <w:t>3</w:t>
      </w:r>
      <w:r w:rsidR="003979BE">
        <w:t>1</w:t>
      </w:r>
      <w:r w:rsidR="00F33108">
        <w:t xml:space="preserve"> </w:t>
      </w:r>
      <w:r w:rsidR="003B4256">
        <w:t>May</w:t>
      </w:r>
      <w:r w:rsidR="007C2DEB">
        <w:t xml:space="preserve"> 20</w:t>
      </w:r>
      <w:r w:rsidR="00F33108">
        <w:t>20</w:t>
      </w:r>
      <w:r w:rsidR="0039667C">
        <w:t>.</w:t>
      </w:r>
    </w:p>
    <w:p w14:paraId="528D5CEE" w14:textId="77777777" w:rsidR="005D4C4D" w:rsidRDefault="005D4C4D" w:rsidP="005D4C4D">
      <w:pPr>
        <w:rPr>
          <w:rFonts w:cs="Arial"/>
        </w:rPr>
      </w:pPr>
    </w:p>
    <w:p w14:paraId="1432EFB4" w14:textId="77777777" w:rsidR="005D4C4D" w:rsidRDefault="005D4C4D" w:rsidP="003979BE"/>
    <w:p w14:paraId="01228CAF" w14:textId="77777777" w:rsidR="005D4C4D" w:rsidRDefault="005D4C4D" w:rsidP="003979BE">
      <w:pPr>
        <w:pStyle w:val="Heading1"/>
        <w:pBdr>
          <w:top w:val="single" w:sz="4" w:space="1" w:color="auto"/>
          <w:left w:val="single" w:sz="4" w:space="4" w:color="auto"/>
          <w:bottom w:val="single" w:sz="4" w:space="1" w:color="auto"/>
          <w:right w:val="single" w:sz="4" w:space="4" w:color="auto"/>
        </w:pBdr>
      </w:pPr>
      <w:r>
        <w:t>Summary and Recommendations</w:t>
      </w:r>
    </w:p>
    <w:p w14:paraId="257BC335" w14:textId="77777777" w:rsidR="005D4C4D" w:rsidRDefault="005D4C4D" w:rsidP="003979BE">
      <w:pPr>
        <w:pBdr>
          <w:top w:val="single" w:sz="4" w:space="1" w:color="auto"/>
          <w:left w:val="single" w:sz="4" w:space="4" w:color="auto"/>
          <w:bottom w:val="single" w:sz="4" w:space="1" w:color="auto"/>
          <w:right w:val="single" w:sz="4" w:space="4" w:color="auto"/>
        </w:pBdr>
        <w:rPr>
          <w:rFonts w:cs="Arial"/>
        </w:rPr>
      </w:pPr>
    </w:p>
    <w:p w14:paraId="17FC937C" w14:textId="77777777" w:rsidR="001D1A03" w:rsidRDefault="005D4C4D" w:rsidP="003979BE">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w:t>
      </w:r>
      <w:r w:rsidR="00802361">
        <w:rPr>
          <w:rFonts w:cs="Arial"/>
        </w:rPr>
        <w:t>3</w:t>
      </w:r>
      <w:r w:rsidR="00F33108">
        <w:rPr>
          <w:rFonts w:cs="Arial"/>
        </w:rPr>
        <w:t xml:space="preserve">1 </w:t>
      </w:r>
      <w:r w:rsidR="003B4256">
        <w:rPr>
          <w:rFonts w:cs="Arial"/>
        </w:rPr>
        <w:t xml:space="preserve">May </w:t>
      </w:r>
      <w:r w:rsidR="00F33108">
        <w:rPr>
          <w:rFonts w:cs="Arial"/>
        </w:rPr>
        <w:t>2020.</w:t>
      </w:r>
    </w:p>
    <w:p w14:paraId="4FB2C91C" w14:textId="77777777" w:rsidR="005D4C4D" w:rsidRDefault="005D4C4D" w:rsidP="003979BE">
      <w:pPr>
        <w:pBdr>
          <w:top w:val="single" w:sz="4" w:space="1" w:color="auto"/>
          <w:left w:val="single" w:sz="4" w:space="4" w:color="auto"/>
          <w:bottom w:val="single" w:sz="4" w:space="1" w:color="auto"/>
          <w:right w:val="single" w:sz="4" w:space="4" w:color="auto"/>
        </w:pBdr>
        <w:rPr>
          <w:rFonts w:cs="Arial"/>
        </w:rPr>
      </w:pPr>
    </w:p>
    <w:p w14:paraId="18DA1D31" w14:textId="77777777" w:rsidR="005D4C4D" w:rsidRDefault="005D4C4D" w:rsidP="003979BE">
      <w:pPr>
        <w:pBdr>
          <w:top w:val="single" w:sz="4" w:space="1" w:color="auto"/>
          <w:left w:val="single" w:sz="4" w:space="4" w:color="auto"/>
          <w:bottom w:val="single" w:sz="4" w:space="1" w:color="auto"/>
          <w:right w:val="single" w:sz="4" w:space="4" w:color="auto"/>
        </w:pBdr>
        <w:rPr>
          <w:bCs/>
        </w:rPr>
      </w:pPr>
      <w:r w:rsidRPr="003979BE">
        <w:rPr>
          <w:b/>
        </w:rPr>
        <w:t>Key decision</w:t>
      </w:r>
      <w:r w:rsidR="00AC4B4B" w:rsidRPr="003979BE">
        <w:rPr>
          <w:b/>
        </w:rPr>
        <w:t>:</w:t>
      </w:r>
      <w:r w:rsidR="00A32A7B" w:rsidRPr="003979BE">
        <w:rPr>
          <w:b/>
        </w:rPr>
        <w:tab/>
      </w:r>
      <w:r w:rsidR="00DE11B2">
        <w:t>No</w:t>
      </w:r>
      <w:r>
        <w:t xml:space="preserve"> </w:t>
      </w:r>
    </w:p>
    <w:p w14:paraId="029E8CB6" w14:textId="77777777" w:rsidR="005D4C4D" w:rsidRDefault="005D4C4D" w:rsidP="003979BE">
      <w:pPr>
        <w:pBdr>
          <w:top w:val="single" w:sz="4" w:space="1" w:color="auto"/>
          <w:left w:val="single" w:sz="4" w:space="4" w:color="auto"/>
          <w:bottom w:val="single" w:sz="4" w:space="1" w:color="auto"/>
          <w:right w:val="single" w:sz="4" w:space="4" w:color="auto"/>
        </w:pBdr>
        <w:rPr>
          <w:rFonts w:cs="Arial"/>
        </w:rPr>
      </w:pPr>
    </w:p>
    <w:p w14:paraId="1788E688" w14:textId="77777777" w:rsidR="005D4C4D" w:rsidRDefault="00A32A7B" w:rsidP="003979BE">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Pr>
          <w:rFonts w:cs="Arial"/>
          <w:b/>
          <w:bCs/>
        </w:rPr>
        <w:tab/>
      </w:r>
      <w:r w:rsidR="00AC4B4B" w:rsidRPr="003979BE">
        <w:rPr>
          <w:rFonts w:cs="Arial"/>
          <w:bCs/>
        </w:rPr>
        <w:t>Councillor Ed Turner</w:t>
      </w:r>
    </w:p>
    <w:p w14:paraId="7A009CA9" w14:textId="77777777" w:rsidR="005D4C4D" w:rsidRDefault="005D4C4D" w:rsidP="003979BE">
      <w:pPr>
        <w:pBdr>
          <w:top w:val="single" w:sz="4" w:space="1" w:color="auto"/>
          <w:left w:val="single" w:sz="4" w:space="4" w:color="auto"/>
          <w:bottom w:val="single" w:sz="4" w:space="1" w:color="auto"/>
          <w:right w:val="single" w:sz="4" w:space="4" w:color="auto"/>
        </w:pBdr>
      </w:pPr>
    </w:p>
    <w:p w14:paraId="04870B84" w14:textId="77777777" w:rsidR="005D4C4D" w:rsidRPr="003979BE" w:rsidRDefault="005D4C4D" w:rsidP="003979BE">
      <w:pPr>
        <w:pBdr>
          <w:top w:val="single" w:sz="4" w:space="1" w:color="auto"/>
          <w:left w:val="single" w:sz="4" w:space="4" w:color="auto"/>
          <w:bottom w:val="single" w:sz="4" w:space="1" w:color="auto"/>
          <w:right w:val="single" w:sz="4" w:space="4" w:color="auto"/>
        </w:pBdr>
        <w:rPr>
          <w:rFonts w:cs="Arial"/>
          <w:bCs/>
        </w:rPr>
      </w:pPr>
      <w:r>
        <w:rPr>
          <w:rFonts w:cs="Arial"/>
          <w:b/>
          <w:bCs/>
        </w:rPr>
        <w:t>Policy Framework:</w:t>
      </w:r>
      <w:r w:rsidR="00A32A7B">
        <w:rPr>
          <w:rFonts w:cs="Arial"/>
          <w:b/>
          <w:bCs/>
        </w:rPr>
        <w:tab/>
      </w:r>
      <w:r w:rsidR="00727ED1" w:rsidRPr="003979BE">
        <w:rPr>
          <w:rFonts w:cs="Arial"/>
          <w:bCs/>
        </w:rPr>
        <w:t xml:space="preserve">Efficient and </w:t>
      </w:r>
      <w:r w:rsidR="00CB0A60" w:rsidRPr="003979BE">
        <w:rPr>
          <w:rFonts w:cs="Arial"/>
          <w:bCs/>
        </w:rPr>
        <w:t>E</w:t>
      </w:r>
      <w:r w:rsidR="00727ED1" w:rsidRPr="003979BE">
        <w:rPr>
          <w:rFonts w:cs="Arial"/>
          <w:bCs/>
        </w:rPr>
        <w:t>ffective Council</w:t>
      </w:r>
    </w:p>
    <w:p w14:paraId="4BD16DD7" w14:textId="77777777" w:rsidR="005D4C4D" w:rsidRDefault="005D4C4D" w:rsidP="003979BE">
      <w:pPr>
        <w:pBdr>
          <w:top w:val="single" w:sz="4" w:space="1" w:color="auto"/>
          <w:left w:val="single" w:sz="4" w:space="4" w:color="auto"/>
          <w:bottom w:val="single" w:sz="4" w:space="1" w:color="auto"/>
          <w:right w:val="single" w:sz="4" w:space="4" w:color="auto"/>
        </w:pBdr>
      </w:pPr>
    </w:p>
    <w:p w14:paraId="3C6FB55C" w14:textId="4E61272E" w:rsidR="00507029" w:rsidRDefault="003979BE" w:rsidP="003979BE">
      <w:pPr>
        <w:pBdr>
          <w:top w:val="single" w:sz="4" w:space="1" w:color="auto"/>
          <w:left w:val="single" w:sz="4" w:space="4" w:color="auto"/>
          <w:bottom w:val="single" w:sz="4" w:space="1" w:color="auto"/>
          <w:right w:val="single" w:sz="4" w:space="4" w:color="auto"/>
        </w:pBdr>
        <w:rPr>
          <w:rFonts w:cs="Arial"/>
          <w:b/>
        </w:rPr>
      </w:pPr>
      <w:r>
        <w:rPr>
          <w:rFonts w:cs="Arial"/>
          <w:b/>
        </w:rPr>
        <w:t>Recommendation</w:t>
      </w:r>
      <w:r w:rsidR="000C5DA1">
        <w:rPr>
          <w:rFonts w:cs="Arial"/>
          <w:b/>
        </w:rPr>
        <w:t xml:space="preserve">: </w:t>
      </w:r>
      <w:r w:rsidR="00760922">
        <w:rPr>
          <w:rFonts w:cs="Arial"/>
          <w:b/>
        </w:rPr>
        <w:t>That the Committee</w:t>
      </w:r>
      <w:r w:rsidR="001B33FC">
        <w:rPr>
          <w:rFonts w:cs="Arial"/>
          <w:b/>
        </w:rPr>
        <w:t xml:space="preserve"> </w:t>
      </w:r>
      <w:r w:rsidR="00511109">
        <w:rPr>
          <w:rFonts w:cs="Arial"/>
          <w:b/>
        </w:rPr>
        <w:t>reviews</w:t>
      </w:r>
      <w:r w:rsidR="00DD3E77">
        <w:rPr>
          <w:rFonts w:cs="Arial"/>
          <w:b/>
        </w:rPr>
        <w:t xml:space="preserve"> the risk </w:t>
      </w:r>
      <w:r w:rsidR="00511109">
        <w:rPr>
          <w:rFonts w:cs="Arial"/>
          <w:b/>
        </w:rPr>
        <w:t xml:space="preserve">management </w:t>
      </w:r>
      <w:r w:rsidR="00DD3E77">
        <w:rPr>
          <w:rFonts w:cs="Arial"/>
          <w:b/>
        </w:rPr>
        <w:t xml:space="preserve">report and </w:t>
      </w:r>
      <w:r w:rsidR="001B33FC">
        <w:rPr>
          <w:rFonts w:cs="Arial"/>
          <w:b/>
        </w:rPr>
        <w:t>n</w:t>
      </w:r>
      <w:r w:rsidR="00C336E7">
        <w:rPr>
          <w:rFonts w:cs="Arial"/>
          <w:b/>
        </w:rPr>
        <w:t>otes</w:t>
      </w:r>
      <w:r w:rsidR="008B29A7">
        <w:rPr>
          <w:rFonts w:cs="Arial"/>
          <w:b/>
        </w:rPr>
        <w:t xml:space="preserve"> </w:t>
      </w:r>
      <w:r w:rsidR="00DD3E77">
        <w:rPr>
          <w:rFonts w:cs="Arial"/>
          <w:b/>
        </w:rPr>
        <w:t xml:space="preserve">its </w:t>
      </w:r>
      <w:r w:rsidR="008B29A7">
        <w:rPr>
          <w:rFonts w:cs="Arial"/>
          <w:b/>
        </w:rPr>
        <w:t>content</w:t>
      </w:r>
      <w:r w:rsidR="00DD3E77">
        <w:rPr>
          <w:rFonts w:cs="Arial"/>
          <w:b/>
        </w:rPr>
        <w:t>s</w:t>
      </w:r>
      <w:r w:rsidR="008B29A7">
        <w:rPr>
          <w:rFonts w:cs="Arial"/>
          <w:b/>
        </w:rPr>
        <w:t xml:space="preserve"> </w:t>
      </w:r>
    </w:p>
    <w:p w14:paraId="05DB2C90" w14:textId="77777777" w:rsidR="00A32A7B" w:rsidRDefault="00A32A7B" w:rsidP="005D4C4D">
      <w:pPr>
        <w:rPr>
          <w:rFonts w:cs="Arial"/>
          <w:b/>
        </w:rPr>
      </w:pPr>
    </w:p>
    <w:p w14:paraId="4449430A" w14:textId="77777777" w:rsidR="007E1B08" w:rsidRDefault="00AE0538" w:rsidP="003979BE">
      <w:pPr>
        <w:pStyle w:val="Heading1"/>
      </w:pPr>
      <w:r w:rsidRPr="00AE0538">
        <w:t>Appendices</w:t>
      </w:r>
      <w:r w:rsidR="00EF0FA5">
        <w:t>:</w:t>
      </w:r>
    </w:p>
    <w:p w14:paraId="499DAF59" w14:textId="77777777" w:rsidR="00EF0FA5" w:rsidRPr="00AE0538" w:rsidRDefault="00EF0FA5" w:rsidP="005D4C4D">
      <w:pPr>
        <w:rPr>
          <w:rFonts w:cs="Arial"/>
          <w:b/>
        </w:rPr>
      </w:pPr>
    </w:p>
    <w:p w14:paraId="415CC592" w14:textId="77777777" w:rsidR="00335660" w:rsidRPr="003979BE" w:rsidRDefault="0018188C" w:rsidP="005D4C4D">
      <w:pPr>
        <w:rPr>
          <w:rFonts w:cs="Arial"/>
        </w:rPr>
      </w:pPr>
      <w:r w:rsidRPr="003979BE">
        <w:rPr>
          <w:rFonts w:cs="Arial"/>
        </w:rPr>
        <w:t>Appendix A</w:t>
      </w:r>
      <w:r w:rsidRPr="003979BE">
        <w:rPr>
          <w:rFonts w:cs="Arial"/>
        </w:rPr>
        <w:tab/>
        <w:t>Corporate Risk Register</w:t>
      </w:r>
    </w:p>
    <w:p w14:paraId="1F143C85" w14:textId="3C46FDF0" w:rsidR="003B4256" w:rsidRPr="003979BE" w:rsidRDefault="003B4256" w:rsidP="005D4C4D">
      <w:pPr>
        <w:rPr>
          <w:rFonts w:cs="Arial"/>
        </w:rPr>
      </w:pPr>
      <w:r w:rsidRPr="003979BE">
        <w:rPr>
          <w:rFonts w:cs="Arial"/>
        </w:rPr>
        <w:t xml:space="preserve">Appendix </w:t>
      </w:r>
      <w:r w:rsidR="00AC3B83" w:rsidRPr="003979BE">
        <w:rPr>
          <w:rFonts w:cs="Arial"/>
        </w:rPr>
        <w:t>B Business</w:t>
      </w:r>
      <w:r w:rsidRPr="003979BE">
        <w:rPr>
          <w:rFonts w:cs="Arial"/>
        </w:rPr>
        <w:t xml:space="preserve"> Continuity - Response to Covid-19</w:t>
      </w:r>
    </w:p>
    <w:p w14:paraId="604151D2" w14:textId="0BC1CA58" w:rsidR="00C346DC" w:rsidRDefault="00C346DC">
      <w:pPr>
        <w:rPr>
          <w:rFonts w:cs="Arial"/>
          <w:b/>
        </w:rPr>
      </w:pPr>
    </w:p>
    <w:p w14:paraId="44ECBC5B" w14:textId="77777777" w:rsidR="00AE0538" w:rsidRPr="003979BE" w:rsidRDefault="00A91CBA" w:rsidP="003979BE">
      <w:pPr>
        <w:pStyle w:val="Heading1"/>
      </w:pPr>
      <w:r w:rsidRPr="003979BE">
        <w:t>Risk Scoring Matrix</w:t>
      </w:r>
    </w:p>
    <w:p w14:paraId="4902CB72" w14:textId="77777777" w:rsidR="00AE0538" w:rsidRDefault="00AE0538" w:rsidP="002D3856">
      <w:pPr>
        <w:rPr>
          <w:rFonts w:cs="Arial"/>
        </w:rPr>
      </w:pPr>
    </w:p>
    <w:p w14:paraId="0B43ACD5" w14:textId="77777777" w:rsidR="00B73F00" w:rsidRPr="00676B7F" w:rsidRDefault="00A91CBA" w:rsidP="00676B7F">
      <w:pPr>
        <w:numPr>
          <w:ilvl w:val="0"/>
          <w:numId w:val="1"/>
        </w:numPr>
        <w:ind w:left="426" w:hanging="426"/>
        <w:rPr>
          <w:rFonts w:cs="Arial"/>
        </w:rPr>
      </w:pPr>
      <w:r w:rsidRPr="00676B7F">
        <w:rPr>
          <w:rFonts w:cs="Arial"/>
        </w:rPr>
        <w:t>The Council operates a ‘five by five’ scoring matrix</w:t>
      </w:r>
      <w:r w:rsidR="00511109">
        <w:rPr>
          <w:rFonts w:cs="Arial"/>
        </w:rPr>
        <w:t xml:space="preserve"> based on probability and impact.</w:t>
      </w:r>
      <w:r w:rsidRPr="00676B7F">
        <w:rPr>
          <w:rFonts w:cs="Arial"/>
        </w:rPr>
        <w:t xml:space="preserve"> The methodology for scoring risks is set out below along with a copy of the scoring matrix or ‘heat map’.</w:t>
      </w:r>
    </w:p>
    <w:p w14:paraId="3E4A27BE" w14:textId="77777777" w:rsidR="00A32A7B" w:rsidRDefault="00A32A7B" w:rsidP="00A32A7B">
      <w:pPr>
        <w:ind w:left="426"/>
        <w:rPr>
          <w:rFonts w:cs="Arial"/>
        </w:rPr>
      </w:pPr>
    </w:p>
    <w:p w14:paraId="3DE37EFD" w14:textId="77777777"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14:paraId="5B8B7704" w14:textId="77777777" w:rsidR="002D02EC" w:rsidRDefault="002D02EC" w:rsidP="002D02EC">
      <w:pPr>
        <w:pStyle w:val="ListParagraph"/>
        <w:rPr>
          <w:rFonts w:cs="Arial"/>
        </w:rPr>
      </w:pPr>
    </w:p>
    <w:p w14:paraId="7EC2396F" w14:textId="77777777" w:rsidR="00DA3392" w:rsidRDefault="00DA3392" w:rsidP="002D02EC">
      <w:pPr>
        <w:pStyle w:val="ListParagraph"/>
        <w:rPr>
          <w:rFonts w:cs="Arial"/>
        </w:rPr>
      </w:pPr>
    </w:p>
    <w:p w14:paraId="1061BCC2" w14:textId="77777777" w:rsidR="00676B7F" w:rsidRDefault="00EF19D5" w:rsidP="00676B7F">
      <w:pPr>
        <w:numPr>
          <w:ilvl w:val="0"/>
          <w:numId w:val="1"/>
        </w:numPr>
        <w:ind w:left="426" w:hanging="426"/>
        <w:rPr>
          <w:rFonts w:cs="Arial"/>
        </w:rPr>
      </w:pPr>
      <w:r>
        <w:rPr>
          <w:rFonts w:cs="Arial"/>
        </w:rPr>
        <w:t xml:space="preserve">The risk prioritisation matrix </w:t>
      </w:r>
      <w:r w:rsidR="00CF76AC">
        <w:rPr>
          <w:rFonts w:cs="Arial"/>
        </w:rPr>
        <w:t xml:space="preserve">is </w:t>
      </w:r>
      <w:r w:rsidR="002D02EC" w:rsidRPr="002D02EC">
        <w:rPr>
          <w:rFonts w:cs="Arial"/>
        </w:rPr>
        <w:t>shown below.</w:t>
      </w:r>
    </w:p>
    <w:p w14:paraId="10930BF6" w14:textId="77777777" w:rsidR="0032749E" w:rsidRDefault="0032749E" w:rsidP="0032749E">
      <w:pPr>
        <w:pStyle w:val="ListParagraph"/>
        <w:ind w:left="426"/>
        <w:rPr>
          <w:rFonts w:cs="Arial"/>
        </w:rPr>
      </w:pPr>
    </w:p>
    <w:p w14:paraId="7C224850" w14:textId="77777777" w:rsidR="00DA3392" w:rsidRDefault="00DA3392" w:rsidP="0032749E">
      <w:pPr>
        <w:pStyle w:val="ListParagraph"/>
        <w:ind w:left="426"/>
        <w:rPr>
          <w:rFonts w:cs="Arial"/>
        </w:rPr>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011AC6" w:rsidRPr="00011AC6" w14:paraId="66E161F5" w14:textId="77777777" w:rsidTr="00EB4F27">
        <w:trPr>
          <w:trHeight w:val="315"/>
        </w:trPr>
        <w:tc>
          <w:tcPr>
            <w:tcW w:w="1280" w:type="dxa"/>
            <w:shd w:val="clear" w:color="auto" w:fill="FFFFFF"/>
            <w:noWrap/>
            <w:vAlign w:val="center"/>
            <w:hideMark/>
          </w:tcPr>
          <w:p w14:paraId="743E99A8" w14:textId="77777777"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Probability</w:t>
            </w:r>
          </w:p>
        </w:tc>
        <w:tc>
          <w:tcPr>
            <w:tcW w:w="800" w:type="dxa"/>
            <w:shd w:val="clear" w:color="auto" w:fill="FFFFFF"/>
            <w:noWrap/>
            <w:vAlign w:val="center"/>
            <w:hideMark/>
          </w:tcPr>
          <w:p w14:paraId="2099B233" w14:textId="77777777"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14:paraId="43562538" w14:textId="77777777"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14:paraId="5ADEB540" w14:textId="77777777"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14:paraId="2CDC4546" w14:textId="77777777"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14:paraId="195A4CEC" w14:textId="77777777"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14:paraId="3845BFF1" w14:textId="77777777" w:rsidR="00011AC6" w:rsidRPr="00011AC6" w:rsidRDefault="00011AC6" w:rsidP="00011AC6">
            <w:pPr>
              <w:rPr>
                <w:rFonts w:cs="Arial"/>
                <w:color w:val="000000"/>
                <w:lang w:eastAsia="en-GB"/>
              </w:rPr>
            </w:pPr>
            <w:r w:rsidRPr="00011AC6">
              <w:rPr>
                <w:rFonts w:cs="Arial"/>
                <w:color w:val="000000"/>
                <w:lang w:eastAsia="en-GB"/>
              </w:rPr>
              <w:t> </w:t>
            </w:r>
          </w:p>
        </w:tc>
      </w:tr>
      <w:tr w:rsidR="00011AC6" w:rsidRPr="00011AC6" w14:paraId="7C402CB5" w14:textId="77777777" w:rsidTr="00EB4F27">
        <w:trPr>
          <w:trHeight w:val="619"/>
        </w:trPr>
        <w:tc>
          <w:tcPr>
            <w:tcW w:w="1280" w:type="dxa"/>
            <w:shd w:val="clear" w:color="auto" w:fill="FFFFFF"/>
            <w:vAlign w:val="center"/>
            <w:hideMark/>
          </w:tcPr>
          <w:p w14:paraId="6F77D2EF" w14:textId="77777777" w:rsidR="00011AC6" w:rsidRPr="00011AC6" w:rsidRDefault="00011AC6" w:rsidP="00011AC6">
            <w:pPr>
              <w:jc w:val="center"/>
              <w:rPr>
                <w:rFonts w:cs="Arial"/>
                <w:color w:val="000000"/>
                <w:lang w:eastAsia="en-GB"/>
              </w:rPr>
            </w:pPr>
            <w:r w:rsidRPr="00011AC6">
              <w:rPr>
                <w:rFonts w:cs="Arial"/>
                <w:color w:val="000000"/>
                <w:lang w:eastAsia="en-GB"/>
              </w:rPr>
              <w:lastRenderedPageBreak/>
              <w:t>Almost Certain</w:t>
            </w:r>
          </w:p>
        </w:tc>
        <w:tc>
          <w:tcPr>
            <w:tcW w:w="800" w:type="dxa"/>
            <w:tcBorders>
              <w:top w:val="nil"/>
              <w:left w:val="nil"/>
              <w:bottom w:val="nil"/>
              <w:right w:val="single" w:sz="12" w:space="0" w:color="auto"/>
            </w:tcBorders>
            <w:shd w:val="clear" w:color="auto" w:fill="FFFFFF"/>
            <w:noWrap/>
            <w:vAlign w:val="center"/>
            <w:hideMark/>
          </w:tcPr>
          <w:p w14:paraId="62E42058" w14:textId="77777777" w:rsidR="00011AC6" w:rsidRPr="00011AC6" w:rsidRDefault="00011AC6" w:rsidP="00011AC6">
            <w:pPr>
              <w:jc w:val="center"/>
              <w:rPr>
                <w:rFonts w:cs="Arial"/>
                <w:color w:val="000000"/>
                <w:lang w:eastAsia="en-GB"/>
              </w:rPr>
            </w:pPr>
            <w:r w:rsidRPr="00011AC6">
              <w:rPr>
                <w:rFonts w:cs="Arial"/>
                <w:color w:val="000000"/>
                <w:lang w:eastAsia="en-GB"/>
              </w:rPr>
              <w:t>5</w:t>
            </w:r>
          </w:p>
        </w:tc>
        <w:tc>
          <w:tcPr>
            <w:tcW w:w="1280" w:type="dxa"/>
            <w:tcBorders>
              <w:top w:val="single" w:sz="12" w:space="0" w:color="auto"/>
              <w:left w:val="nil"/>
              <w:bottom w:val="nil"/>
              <w:right w:val="nil"/>
            </w:tcBorders>
            <w:shd w:val="thinHorzStripe" w:color="000000" w:fill="00843C"/>
            <w:noWrap/>
            <w:vAlign w:val="center"/>
            <w:hideMark/>
          </w:tcPr>
          <w:p w14:paraId="64B9C42E"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5</w:t>
            </w:r>
          </w:p>
        </w:tc>
        <w:tc>
          <w:tcPr>
            <w:tcW w:w="1280" w:type="dxa"/>
            <w:tcBorders>
              <w:top w:val="single" w:sz="12" w:space="0" w:color="auto"/>
              <w:left w:val="nil"/>
              <w:bottom w:val="nil"/>
              <w:right w:val="nil"/>
            </w:tcBorders>
            <w:shd w:val="thinVertStripe" w:color="000000" w:fill="DDA600"/>
            <w:noWrap/>
            <w:vAlign w:val="center"/>
            <w:hideMark/>
          </w:tcPr>
          <w:p w14:paraId="45A80E59"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10</w:t>
            </w:r>
          </w:p>
        </w:tc>
        <w:tc>
          <w:tcPr>
            <w:tcW w:w="1280" w:type="dxa"/>
            <w:tcBorders>
              <w:top w:val="single" w:sz="12" w:space="0" w:color="auto"/>
              <w:left w:val="nil"/>
              <w:bottom w:val="nil"/>
              <w:right w:val="nil"/>
            </w:tcBorders>
            <w:shd w:val="thinDiagCross" w:color="000000" w:fill="CA0000"/>
            <w:noWrap/>
            <w:vAlign w:val="center"/>
            <w:hideMark/>
          </w:tcPr>
          <w:p w14:paraId="5B3B4CEA"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15</w:t>
            </w:r>
          </w:p>
        </w:tc>
        <w:tc>
          <w:tcPr>
            <w:tcW w:w="1280" w:type="dxa"/>
            <w:tcBorders>
              <w:top w:val="single" w:sz="12" w:space="0" w:color="auto"/>
              <w:left w:val="nil"/>
              <w:bottom w:val="nil"/>
              <w:right w:val="nil"/>
            </w:tcBorders>
            <w:shd w:val="thinDiagCross" w:color="000000" w:fill="CA0000"/>
            <w:noWrap/>
            <w:vAlign w:val="center"/>
            <w:hideMark/>
          </w:tcPr>
          <w:p w14:paraId="0D028C05"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14:paraId="35C25B95"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25</w:t>
            </w:r>
          </w:p>
        </w:tc>
      </w:tr>
      <w:tr w:rsidR="00011AC6" w:rsidRPr="00011AC6" w14:paraId="5470526B" w14:textId="77777777" w:rsidTr="00EB4F27">
        <w:trPr>
          <w:trHeight w:val="619"/>
        </w:trPr>
        <w:tc>
          <w:tcPr>
            <w:tcW w:w="1280" w:type="dxa"/>
            <w:shd w:val="clear" w:color="auto" w:fill="FFFFFF"/>
            <w:noWrap/>
            <w:vAlign w:val="center"/>
            <w:hideMark/>
          </w:tcPr>
          <w:p w14:paraId="450003D4" w14:textId="77777777" w:rsidR="00011AC6" w:rsidRPr="00011AC6" w:rsidRDefault="00011AC6" w:rsidP="00011AC6">
            <w:pPr>
              <w:jc w:val="center"/>
              <w:rPr>
                <w:rFonts w:cs="Arial"/>
                <w:color w:val="000000"/>
                <w:lang w:eastAsia="en-GB"/>
              </w:rPr>
            </w:pPr>
            <w:r w:rsidRPr="00011AC6">
              <w:rPr>
                <w:rFonts w:cs="Arial"/>
                <w:color w:val="000000"/>
                <w:lang w:eastAsia="en-GB"/>
              </w:rPr>
              <w:t>Likely</w:t>
            </w:r>
          </w:p>
        </w:tc>
        <w:tc>
          <w:tcPr>
            <w:tcW w:w="800" w:type="dxa"/>
            <w:tcBorders>
              <w:top w:val="nil"/>
              <w:left w:val="nil"/>
              <w:bottom w:val="nil"/>
              <w:right w:val="single" w:sz="12" w:space="0" w:color="auto"/>
            </w:tcBorders>
            <w:shd w:val="clear" w:color="auto" w:fill="FFFFFF"/>
            <w:noWrap/>
            <w:vAlign w:val="center"/>
            <w:hideMark/>
          </w:tcPr>
          <w:p w14:paraId="2C9FC165" w14:textId="77777777"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thinHorzStripe" w:color="000000" w:fill="00843C"/>
            <w:noWrap/>
            <w:vAlign w:val="center"/>
            <w:hideMark/>
          </w:tcPr>
          <w:p w14:paraId="07CB1051"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4</w:t>
            </w:r>
          </w:p>
        </w:tc>
        <w:tc>
          <w:tcPr>
            <w:tcW w:w="1280" w:type="dxa"/>
            <w:shd w:val="thinVertStripe" w:color="000000" w:fill="DDA600"/>
            <w:noWrap/>
            <w:vAlign w:val="center"/>
            <w:hideMark/>
          </w:tcPr>
          <w:p w14:paraId="143DB7FD"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8</w:t>
            </w:r>
          </w:p>
        </w:tc>
        <w:tc>
          <w:tcPr>
            <w:tcW w:w="1280" w:type="dxa"/>
            <w:shd w:val="thinVertStripe" w:color="000000" w:fill="DDA600"/>
            <w:noWrap/>
            <w:vAlign w:val="center"/>
            <w:hideMark/>
          </w:tcPr>
          <w:p w14:paraId="1EC8201B"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12</w:t>
            </w:r>
          </w:p>
        </w:tc>
        <w:tc>
          <w:tcPr>
            <w:tcW w:w="1280" w:type="dxa"/>
            <w:shd w:val="thinDiagCross" w:color="000000" w:fill="CA0000"/>
            <w:noWrap/>
            <w:vAlign w:val="center"/>
            <w:hideMark/>
          </w:tcPr>
          <w:p w14:paraId="7E847250"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16</w:t>
            </w:r>
          </w:p>
        </w:tc>
        <w:tc>
          <w:tcPr>
            <w:tcW w:w="1280" w:type="dxa"/>
            <w:tcBorders>
              <w:top w:val="nil"/>
              <w:left w:val="nil"/>
              <w:bottom w:val="nil"/>
              <w:right w:val="single" w:sz="12" w:space="0" w:color="auto"/>
            </w:tcBorders>
            <w:shd w:val="thinDiagCross" w:color="000000" w:fill="CA0000"/>
            <w:noWrap/>
            <w:vAlign w:val="center"/>
            <w:hideMark/>
          </w:tcPr>
          <w:p w14:paraId="3A226458"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20</w:t>
            </w:r>
          </w:p>
        </w:tc>
      </w:tr>
      <w:tr w:rsidR="00011AC6" w:rsidRPr="00011AC6" w14:paraId="57113D3E" w14:textId="77777777" w:rsidTr="00EB4F27">
        <w:trPr>
          <w:trHeight w:val="619"/>
        </w:trPr>
        <w:tc>
          <w:tcPr>
            <w:tcW w:w="1280" w:type="dxa"/>
            <w:shd w:val="clear" w:color="auto" w:fill="FFFFFF"/>
            <w:noWrap/>
            <w:vAlign w:val="center"/>
            <w:hideMark/>
          </w:tcPr>
          <w:p w14:paraId="7416B387" w14:textId="77777777" w:rsidR="00011AC6" w:rsidRPr="00011AC6" w:rsidRDefault="00011AC6" w:rsidP="00011AC6">
            <w:pPr>
              <w:jc w:val="center"/>
              <w:rPr>
                <w:rFonts w:cs="Arial"/>
                <w:color w:val="000000"/>
                <w:lang w:eastAsia="en-GB"/>
              </w:rPr>
            </w:pPr>
            <w:r w:rsidRPr="00011AC6">
              <w:rPr>
                <w:rFonts w:cs="Arial"/>
                <w:color w:val="000000"/>
                <w:lang w:eastAsia="en-GB"/>
              </w:rPr>
              <w:t>Possible</w:t>
            </w:r>
          </w:p>
        </w:tc>
        <w:tc>
          <w:tcPr>
            <w:tcW w:w="800" w:type="dxa"/>
            <w:tcBorders>
              <w:top w:val="nil"/>
              <w:left w:val="nil"/>
              <w:bottom w:val="nil"/>
              <w:right w:val="single" w:sz="12" w:space="0" w:color="auto"/>
            </w:tcBorders>
            <w:shd w:val="clear" w:color="auto" w:fill="FFFFFF"/>
            <w:noWrap/>
            <w:vAlign w:val="center"/>
            <w:hideMark/>
          </w:tcPr>
          <w:p w14:paraId="25F22806" w14:textId="77777777"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thinHorzStripe" w:color="000000" w:fill="00843C"/>
            <w:noWrap/>
            <w:vAlign w:val="center"/>
            <w:hideMark/>
          </w:tcPr>
          <w:p w14:paraId="55F629E6"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3</w:t>
            </w:r>
          </w:p>
        </w:tc>
        <w:tc>
          <w:tcPr>
            <w:tcW w:w="1280" w:type="dxa"/>
            <w:shd w:val="thinHorzStripe" w:color="000000" w:fill="00843C"/>
            <w:noWrap/>
            <w:vAlign w:val="center"/>
            <w:hideMark/>
          </w:tcPr>
          <w:p w14:paraId="5FB22D7A"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6</w:t>
            </w:r>
          </w:p>
        </w:tc>
        <w:tc>
          <w:tcPr>
            <w:tcW w:w="1280" w:type="dxa"/>
            <w:shd w:val="thinVertStripe" w:color="000000" w:fill="DDA600"/>
            <w:noWrap/>
            <w:vAlign w:val="center"/>
            <w:hideMark/>
          </w:tcPr>
          <w:p w14:paraId="518781C1"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9</w:t>
            </w:r>
          </w:p>
        </w:tc>
        <w:tc>
          <w:tcPr>
            <w:tcW w:w="1280" w:type="dxa"/>
            <w:shd w:val="thinVertStripe" w:color="000000" w:fill="DDA600"/>
            <w:noWrap/>
            <w:vAlign w:val="center"/>
            <w:hideMark/>
          </w:tcPr>
          <w:p w14:paraId="56899A2F"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12</w:t>
            </w:r>
          </w:p>
        </w:tc>
        <w:tc>
          <w:tcPr>
            <w:tcW w:w="1280" w:type="dxa"/>
            <w:tcBorders>
              <w:top w:val="nil"/>
              <w:left w:val="nil"/>
              <w:bottom w:val="nil"/>
              <w:right w:val="single" w:sz="12" w:space="0" w:color="auto"/>
            </w:tcBorders>
            <w:shd w:val="thinDiagCross" w:color="000000" w:fill="CA0000"/>
            <w:noWrap/>
            <w:vAlign w:val="center"/>
            <w:hideMark/>
          </w:tcPr>
          <w:p w14:paraId="77ECEB71"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15</w:t>
            </w:r>
          </w:p>
        </w:tc>
        <w:bookmarkStart w:id="0" w:name="_GoBack"/>
        <w:bookmarkEnd w:id="0"/>
      </w:tr>
      <w:tr w:rsidR="00011AC6" w:rsidRPr="00011AC6" w14:paraId="432D0F32" w14:textId="77777777" w:rsidTr="00EB4F27">
        <w:trPr>
          <w:trHeight w:val="619"/>
        </w:trPr>
        <w:tc>
          <w:tcPr>
            <w:tcW w:w="1280" w:type="dxa"/>
            <w:shd w:val="clear" w:color="auto" w:fill="FFFFFF"/>
            <w:noWrap/>
            <w:vAlign w:val="center"/>
            <w:hideMark/>
          </w:tcPr>
          <w:p w14:paraId="4B6762A4" w14:textId="77777777" w:rsidR="00011AC6" w:rsidRPr="00011AC6" w:rsidRDefault="00011AC6" w:rsidP="00011AC6">
            <w:pPr>
              <w:jc w:val="center"/>
              <w:rPr>
                <w:rFonts w:cs="Arial"/>
                <w:color w:val="000000"/>
                <w:lang w:eastAsia="en-GB"/>
              </w:rPr>
            </w:pPr>
            <w:r w:rsidRPr="00011AC6">
              <w:rPr>
                <w:rFonts w:cs="Arial"/>
                <w:color w:val="000000"/>
                <w:lang w:eastAsia="en-GB"/>
              </w:rPr>
              <w:t>Unlikely</w:t>
            </w:r>
          </w:p>
        </w:tc>
        <w:tc>
          <w:tcPr>
            <w:tcW w:w="800" w:type="dxa"/>
            <w:tcBorders>
              <w:top w:val="nil"/>
              <w:left w:val="nil"/>
              <w:bottom w:val="nil"/>
              <w:right w:val="single" w:sz="12" w:space="0" w:color="auto"/>
            </w:tcBorders>
            <w:shd w:val="clear" w:color="auto" w:fill="FFFFFF"/>
            <w:noWrap/>
            <w:vAlign w:val="center"/>
            <w:hideMark/>
          </w:tcPr>
          <w:p w14:paraId="584015BA" w14:textId="77777777"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thinHorzStripe" w:color="000000" w:fill="00843C"/>
            <w:noWrap/>
            <w:vAlign w:val="center"/>
            <w:hideMark/>
          </w:tcPr>
          <w:p w14:paraId="2D8E6CD8"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2</w:t>
            </w:r>
          </w:p>
        </w:tc>
        <w:tc>
          <w:tcPr>
            <w:tcW w:w="1280" w:type="dxa"/>
            <w:shd w:val="thinHorzStripe" w:color="000000" w:fill="00843C"/>
            <w:noWrap/>
            <w:vAlign w:val="center"/>
            <w:hideMark/>
          </w:tcPr>
          <w:p w14:paraId="4BF26000"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4</w:t>
            </w:r>
          </w:p>
        </w:tc>
        <w:tc>
          <w:tcPr>
            <w:tcW w:w="1280" w:type="dxa"/>
            <w:shd w:val="thinHorzStripe" w:color="000000" w:fill="00843C"/>
            <w:noWrap/>
            <w:vAlign w:val="center"/>
            <w:hideMark/>
          </w:tcPr>
          <w:p w14:paraId="2C59CF6B"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6</w:t>
            </w:r>
          </w:p>
        </w:tc>
        <w:tc>
          <w:tcPr>
            <w:tcW w:w="1280" w:type="dxa"/>
            <w:shd w:val="thinVertStripe" w:color="000000" w:fill="DDA600"/>
            <w:noWrap/>
            <w:vAlign w:val="center"/>
            <w:hideMark/>
          </w:tcPr>
          <w:p w14:paraId="0C771989"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8</w:t>
            </w:r>
          </w:p>
        </w:tc>
        <w:tc>
          <w:tcPr>
            <w:tcW w:w="1280" w:type="dxa"/>
            <w:tcBorders>
              <w:top w:val="nil"/>
              <w:left w:val="nil"/>
              <w:bottom w:val="nil"/>
              <w:right w:val="single" w:sz="12" w:space="0" w:color="auto"/>
            </w:tcBorders>
            <w:shd w:val="thinVertStripe" w:color="000000" w:fill="DDA600"/>
            <w:noWrap/>
            <w:vAlign w:val="center"/>
            <w:hideMark/>
          </w:tcPr>
          <w:p w14:paraId="501B5231"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10</w:t>
            </w:r>
          </w:p>
        </w:tc>
      </w:tr>
      <w:tr w:rsidR="00011AC6" w:rsidRPr="00011AC6" w14:paraId="3EA819B0" w14:textId="77777777" w:rsidTr="00EB4F27">
        <w:trPr>
          <w:trHeight w:val="619"/>
        </w:trPr>
        <w:tc>
          <w:tcPr>
            <w:tcW w:w="1280" w:type="dxa"/>
            <w:shd w:val="clear" w:color="auto" w:fill="FFFFFF"/>
            <w:noWrap/>
            <w:vAlign w:val="center"/>
            <w:hideMark/>
          </w:tcPr>
          <w:p w14:paraId="32ACD27F" w14:textId="77777777" w:rsidR="00011AC6" w:rsidRPr="00011AC6" w:rsidRDefault="00011AC6" w:rsidP="00011AC6">
            <w:pPr>
              <w:jc w:val="center"/>
              <w:rPr>
                <w:rFonts w:cs="Arial"/>
                <w:color w:val="000000"/>
                <w:lang w:eastAsia="en-GB"/>
              </w:rPr>
            </w:pPr>
            <w:r w:rsidRPr="00011AC6">
              <w:rPr>
                <w:rFonts w:cs="Arial"/>
                <w:color w:val="000000"/>
                <w:lang w:eastAsia="en-GB"/>
              </w:rPr>
              <w:t>Rare</w:t>
            </w:r>
          </w:p>
        </w:tc>
        <w:tc>
          <w:tcPr>
            <w:tcW w:w="800" w:type="dxa"/>
            <w:tcBorders>
              <w:top w:val="nil"/>
              <w:left w:val="nil"/>
              <w:bottom w:val="nil"/>
              <w:right w:val="single" w:sz="12" w:space="0" w:color="auto"/>
            </w:tcBorders>
            <w:shd w:val="clear" w:color="auto" w:fill="FFFFFF"/>
            <w:noWrap/>
            <w:vAlign w:val="center"/>
            <w:hideMark/>
          </w:tcPr>
          <w:p w14:paraId="2B142A1B" w14:textId="77777777"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tcBorders>
              <w:top w:val="nil"/>
              <w:left w:val="nil"/>
              <w:bottom w:val="single" w:sz="12" w:space="0" w:color="auto"/>
              <w:right w:val="nil"/>
            </w:tcBorders>
            <w:shd w:val="thinHorzStripe" w:color="000000" w:fill="00843C"/>
            <w:noWrap/>
            <w:vAlign w:val="center"/>
            <w:hideMark/>
          </w:tcPr>
          <w:p w14:paraId="3FA00ABA"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1</w:t>
            </w:r>
          </w:p>
        </w:tc>
        <w:tc>
          <w:tcPr>
            <w:tcW w:w="1280" w:type="dxa"/>
            <w:tcBorders>
              <w:top w:val="nil"/>
              <w:left w:val="nil"/>
              <w:bottom w:val="single" w:sz="12" w:space="0" w:color="auto"/>
              <w:right w:val="nil"/>
            </w:tcBorders>
            <w:shd w:val="thinHorzStripe" w:color="000000" w:fill="00843C"/>
            <w:noWrap/>
            <w:vAlign w:val="center"/>
            <w:hideMark/>
          </w:tcPr>
          <w:p w14:paraId="79C84EE5"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2</w:t>
            </w:r>
          </w:p>
        </w:tc>
        <w:tc>
          <w:tcPr>
            <w:tcW w:w="1280" w:type="dxa"/>
            <w:tcBorders>
              <w:top w:val="nil"/>
              <w:left w:val="nil"/>
              <w:bottom w:val="single" w:sz="12" w:space="0" w:color="auto"/>
              <w:right w:val="nil"/>
            </w:tcBorders>
            <w:shd w:val="thinHorzStripe" w:color="000000" w:fill="00843C"/>
            <w:noWrap/>
            <w:vAlign w:val="center"/>
            <w:hideMark/>
          </w:tcPr>
          <w:p w14:paraId="1487926B"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3</w:t>
            </w:r>
          </w:p>
        </w:tc>
        <w:tc>
          <w:tcPr>
            <w:tcW w:w="1280" w:type="dxa"/>
            <w:tcBorders>
              <w:top w:val="nil"/>
              <w:left w:val="nil"/>
              <w:bottom w:val="single" w:sz="12" w:space="0" w:color="auto"/>
              <w:right w:val="nil"/>
            </w:tcBorders>
            <w:shd w:val="thinHorzStripe" w:color="000000" w:fill="00843C"/>
            <w:noWrap/>
            <w:vAlign w:val="center"/>
            <w:hideMark/>
          </w:tcPr>
          <w:p w14:paraId="3008C3A7"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14:paraId="5B469AA9" w14:textId="77777777" w:rsidR="00011AC6" w:rsidRPr="00DA3392" w:rsidRDefault="00011AC6" w:rsidP="00011AC6">
            <w:pPr>
              <w:jc w:val="center"/>
              <w:rPr>
                <w:rFonts w:cs="Arial"/>
                <w:b/>
                <w:bCs/>
                <w:color w:val="FFFFFF" w:themeColor="background1"/>
                <w:lang w:eastAsia="en-GB"/>
              </w:rPr>
            </w:pPr>
            <w:r w:rsidRPr="00DA3392">
              <w:rPr>
                <w:rFonts w:cs="Arial"/>
                <w:b/>
                <w:bCs/>
                <w:color w:val="FFFFFF" w:themeColor="background1"/>
                <w:lang w:eastAsia="en-GB"/>
              </w:rPr>
              <w:t>5</w:t>
            </w:r>
          </w:p>
        </w:tc>
      </w:tr>
      <w:tr w:rsidR="00011AC6" w:rsidRPr="00011AC6" w14:paraId="0393988F" w14:textId="77777777" w:rsidTr="00EB4F27">
        <w:trPr>
          <w:trHeight w:val="315"/>
        </w:trPr>
        <w:tc>
          <w:tcPr>
            <w:tcW w:w="1280" w:type="dxa"/>
            <w:shd w:val="clear" w:color="auto" w:fill="FFFFFF"/>
            <w:noWrap/>
            <w:vAlign w:val="center"/>
            <w:hideMark/>
          </w:tcPr>
          <w:p w14:paraId="51EE5C0A" w14:textId="77777777"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14:paraId="404DC313" w14:textId="77777777"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14:paraId="024188C5" w14:textId="77777777"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shd w:val="clear" w:color="auto" w:fill="FFFFFF"/>
            <w:noWrap/>
            <w:vAlign w:val="center"/>
            <w:hideMark/>
          </w:tcPr>
          <w:p w14:paraId="2728B161" w14:textId="77777777"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clear" w:color="auto" w:fill="FFFFFF"/>
            <w:noWrap/>
            <w:vAlign w:val="center"/>
            <w:hideMark/>
          </w:tcPr>
          <w:p w14:paraId="5F29987A" w14:textId="77777777"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clear" w:color="auto" w:fill="FFFFFF"/>
            <w:noWrap/>
            <w:vAlign w:val="center"/>
            <w:hideMark/>
          </w:tcPr>
          <w:p w14:paraId="59CB60AD" w14:textId="77777777"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clear" w:color="auto" w:fill="FFFFFF"/>
            <w:noWrap/>
            <w:vAlign w:val="center"/>
            <w:hideMark/>
          </w:tcPr>
          <w:p w14:paraId="6A48BD50" w14:textId="77777777" w:rsidR="00011AC6" w:rsidRPr="00011AC6" w:rsidRDefault="00011AC6" w:rsidP="00011AC6">
            <w:pPr>
              <w:jc w:val="center"/>
              <w:rPr>
                <w:rFonts w:cs="Arial"/>
                <w:color w:val="000000"/>
                <w:lang w:eastAsia="en-GB"/>
              </w:rPr>
            </w:pPr>
            <w:r w:rsidRPr="00011AC6">
              <w:rPr>
                <w:rFonts w:cs="Arial"/>
                <w:color w:val="000000"/>
                <w:lang w:eastAsia="en-GB"/>
              </w:rPr>
              <w:t>5</w:t>
            </w:r>
          </w:p>
        </w:tc>
      </w:tr>
      <w:tr w:rsidR="00011AC6" w:rsidRPr="00011AC6" w14:paraId="6324AC55" w14:textId="77777777" w:rsidTr="00EB4F27">
        <w:trPr>
          <w:trHeight w:val="300"/>
        </w:trPr>
        <w:tc>
          <w:tcPr>
            <w:tcW w:w="1280" w:type="dxa"/>
            <w:shd w:val="clear" w:color="auto" w:fill="FFFFFF"/>
            <w:noWrap/>
            <w:vAlign w:val="center"/>
            <w:hideMark/>
          </w:tcPr>
          <w:p w14:paraId="5050480A" w14:textId="77777777"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14:paraId="32E89A46" w14:textId="77777777"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Impact</w:t>
            </w:r>
          </w:p>
        </w:tc>
        <w:tc>
          <w:tcPr>
            <w:tcW w:w="1280" w:type="dxa"/>
            <w:shd w:val="clear" w:color="auto" w:fill="FFFFFF"/>
            <w:noWrap/>
            <w:vAlign w:val="center"/>
            <w:hideMark/>
          </w:tcPr>
          <w:p w14:paraId="207345D3" w14:textId="77777777"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Insignificant</w:t>
            </w:r>
          </w:p>
        </w:tc>
        <w:tc>
          <w:tcPr>
            <w:tcW w:w="1280" w:type="dxa"/>
            <w:shd w:val="clear" w:color="auto" w:fill="FFFFFF"/>
            <w:noWrap/>
            <w:vAlign w:val="center"/>
            <w:hideMark/>
          </w:tcPr>
          <w:p w14:paraId="014A73B1" w14:textId="77777777"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Minor</w:t>
            </w:r>
          </w:p>
        </w:tc>
        <w:tc>
          <w:tcPr>
            <w:tcW w:w="1280" w:type="dxa"/>
            <w:shd w:val="clear" w:color="auto" w:fill="FFFFFF"/>
            <w:noWrap/>
            <w:vAlign w:val="center"/>
            <w:hideMark/>
          </w:tcPr>
          <w:p w14:paraId="2044FE15" w14:textId="77777777"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Moderate</w:t>
            </w:r>
          </w:p>
        </w:tc>
        <w:tc>
          <w:tcPr>
            <w:tcW w:w="1280" w:type="dxa"/>
            <w:shd w:val="clear" w:color="auto" w:fill="FFFFFF"/>
            <w:noWrap/>
            <w:vAlign w:val="center"/>
            <w:hideMark/>
          </w:tcPr>
          <w:p w14:paraId="11D428A0" w14:textId="77777777"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Major</w:t>
            </w:r>
          </w:p>
        </w:tc>
        <w:tc>
          <w:tcPr>
            <w:tcW w:w="1280" w:type="dxa"/>
            <w:shd w:val="clear" w:color="auto" w:fill="FFFFFF"/>
            <w:noWrap/>
            <w:vAlign w:val="center"/>
            <w:hideMark/>
          </w:tcPr>
          <w:p w14:paraId="13273B90" w14:textId="77777777"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Severe</w:t>
            </w:r>
          </w:p>
        </w:tc>
      </w:tr>
    </w:tbl>
    <w:p w14:paraId="10F43719" w14:textId="77777777" w:rsidR="00ED7504" w:rsidRPr="003722CF" w:rsidRDefault="00ED7504" w:rsidP="003722CF">
      <w:pPr>
        <w:rPr>
          <w:rFonts w:cs="Arial"/>
        </w:rPr>
      </w:pPr>
    </w:p>
    <w:p w14:paraId="03F27FC5" w14:textId="77777777" w:rsidR="00B5477F" w:rsidRPr="003722CF" w:rsidRDefault="00B5477F" w:rsidP="003722CF">
      <w:pPr>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14:paraId="0C83E8CF" w14:textId="77777777" w:rsidTr="00AC6D86">
        <w:trPr>
          <w:trHeight w:val="285"/>
        </w:trPr>
        <w:tc>
          <w:tcPr>
            <w:tcW w:w="1967" w:type="dxa"/>
            <w:tcBorders>
              <w:top w:val="nil"/>
              <w:left w:val="nil"/>
              <w:bottom w:val="nil"/>
              <w:right w:val="nil"/>
            </w:tcBorders>
            <w:shd w:val="clear" w:color="auto" w:fill="auto"/>
            <w:noWrap/>
            <w:vAlign w:val="center"/>
            <w:hideMark/>
          </w:tcPr>
          <w:p w14:paraId="091C5933" w14:textId="77777777"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1F96A896" w14:textId="77777777"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14:paraId="71CE38AA" w14:textId="77777777"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14:paraId="0F60B81D" w14:textId="77777777"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14:paraId="2582F9CC" w14:textId="77777777" w:rsidTr="00AC6D86">
        <w:trPr>
          <w:trHeight w:val="272"/>
        </w:trPr>
        <w:tc>
          <w:tcPr>
            <w:tcW w:w="1967" w:type="dxa"/>
            <w:tcBorders>
              <w:top w:val="nil"/>
              <w:left w:val="nil"/>
              <w:bottom w:val="nil"/>
              <w:right w:val="nil"/>
            </w:tcBorders>
            <w:shd w:val="clear" w:color="auto" w:fill="auto"/>
            <w:noWrap/>
            <w:vAlign w:val="bottom"/>
            <w:hideMark/>
          </w:tcPr>
          <w:p w14:paraId="3B87107C" w14:textId="77777777"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14:paraId="4790433B" w14:textId="77777777"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14:paraId="047014A4" w14:textId="77777777"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14:paraId="5AD481C3" w14:textId="77777777"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14:paraId="2CB5C66D" w14:textId="77777777" w:rsidR="00A91CBA" w:rsidRPr="003722CF" w:rsidRDefault="00A91CBA" w:rsidP="003722CF">
      <w:pPr>
        <w:rPr>
          <w:rFonts w:cs="Arial"/>
        </w:rPr>
      </w:pPr>
    </w:p>
    <w:p w14:paraId="548A09BB" w14:textId="77777777" w:rsidR="00A91CBA" w:rsidRDefault="00A91CBA" w:rsidP="003979BE">
      <w:pPr>
        <w:pStyle w:val="Heading1"/>
      </w:pPr>
      <w:r>
        <w:t xml:space="preserve">Risk </w:t>
      </w:r>
      <w:r w:rsidRPr="00A91CBA">
        <w:t>Identification</w:t>
      </w:r>
    </w:p>
    <w:p w14:paraId="4EA4255F" w14:textId="77777777" w:rsidR="00A91CBA" w:rsidRPr="003722CF" w:rsidRDefault="00A91CBA" w:rsidP="003722CF">
      <w:pPr>
        <w:rPr>
          <w:rFonts w:cs="Arial"/>
        </w:rPr>
      </w:pPr>
    </w:p>
    <w:p w14:paraId="0A3A9092" w14:textId="77777777"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w:t>
      </w:r>
      <w:r w:rsidR="00745794">
        <w:rPr>
          <w:rFonts w:cs="Arial"/>
        </w:rPr>
        <w:t xml:space="preserve">periodic </w:t>
      </w:r>
      <w:r w:rsidR="00745794" w:rsidRPr="00A91CBA">
        <w:rPr>
          <w:rFonts w:cs="Arial"/>
        </w:rPr>
        <w:t>basis</w:t>
      </w:r>
      <w:r w:rsidRPr="00A91CBA">
        <w:rPr>
          <w:rFonts w:cs="Arial"/>
        </w:rPr>
        <w:t xml:space="preserve">, any new risks are incorporated into a revised version of the CRR.  Risk owners </w:t>
      </w:r>
      <w:r w:rsidR="00935203">
        <w:rPr>
          <w:rFonts w:cs="Arial"/>
        </w:rPr>
        <w:t>of</w:t>
      </w:r>
      <w:r w:rsidRPr="00A91CBA">
        <w:rPr>
          <w:rFonts w:cs="Arial"/>
        </w:rPr>
        <w:t xml:space="preserve"> corporate risks are generally </w:t>
      </w:r>
      <w:r w:rsidR="00487879">
        <w:rPr>
          <w:rFonts w:cs="Arial"/>
        </w:rPr>
        <w:t xml:space="preserve">Executive </w:t>
      </w:r>
      <w:r w:rsidRPr="00A91CBA">
        <w:rPr>
          <w:rFonts w:cs="Arial"/>
        </w:rPr>
        <w:t>Director</w:t>
      </w:r>
      <w:r w:rsidR="00935203">
        <w:rPr>
          <w:rFonts w:cs="Arial"/>
        </w:rPr>
        <w:t>s.</w:t>
      </w:r>
    </w:p>
    <w:p w14:paraId="03C8E977" w14:textId="77777777" w:rsidR="00A91CBA" w:rsidRDefault="00A91CBA" w:rsidP="003722CF">
      <w:pPr>
        <w:rPr>
          <w:rFonts w:cs="Arial"/>
        </w:rPr>
      </w:pPr>
    </w:p>
    <w:p w14:paraId="4DB12517" w14:textId="77777777"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w:t>
      </w:r>
      <w:r w:rsidR="00487879">
        <w:rPr>
          <w:rFonts w:cs="Arial"/>
        </w:rPr>
        <w:t>A</w:t>
      </w:r>
      <w:r w:rsidRPr="00A91CBA">
        <w:rPr>
          <w:rFonts w:cs="Arial"/>
        </w:rPr>
        <w:t xml:space="preserve">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14:paraId="1FE8B94D" w14:textId="77777777" w:rsidR="001135F8" w:rsidRPr="003722CF" w:rsidRDefault="001135F8" w:rsidP="003722CF">
      <w:pPr>
        <w:rPr>
          <w:rFonts w:cs="Arial"/>
        </w:rPr>
      </w:pPr>
    </w:p>
    <w:p w14:paraId="3E197F90" w14:textId="77777777"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 xml:space="preserve">The Council adopts the principles of Prince2 </w:t>
      </w:r>
      <w:r w:rsidR="00184148">
        <w:rPr>
          <w:rFonts w:cs="Arial"/>
        </w:rPr>
        <w:t xml:space="preserve">and agile </w:t>
      </w:r>
      <w:r w:rsidRPr="00676B7F">
        <w:rPr>
          <w:rFonts w:cs="Arial"/>
        </w:rPr>
        <w:t>methodolog</w:t>
      </w:r>
      <w:r w:rsidR="00184148">
        <w:rPr>
          <w:rFonts w:cs="Arial"/>
        </w:rPr>
        <w:t xml:space="preserve">ies in addition to recognised industry </w:t>
      </w:r>
      <w:r w:rsidR="00FD43E0">
        <w:rPr>
          <w:rFonts w:cs="Arial"/>
        </w:rPr>
        <w:t>standards</w:t>
      </w:r>
      <w:r w:rsidR="00184148">
        <w:rPr>
          <w:rFonts w:cs="Arial"/>
        </w:rPr>
        <w:t xml:space="preserve"> in construction</w:t>
      </w:r>
      <w:r w:rsidRPr="00676B7F">
        <w:rPr>
          <w:rFonts w:cs="Arial"/>
        </w:rPr>
        <w:t xml:space="preserve"> for managing projects. Incorporated within th</w:t>
      </w:r>
      <w:r w:rsidR="00184148">
        <w:rPr>
          <w:rFonts w:cs="Arial"/>
        </w:rPr>
        <w:t>e</w:t>
      </w:r>
      <w:r w:rsidRPr="00676B7F">
        <w:rPr>
          <w:rFonts w:cs="Arial"/>
        </w:rPr>
        <w:t>s</w:t>
      </w:r>
      <w:r w:rsidR="00184148">
        <w:rPr>
          <w:rFonts w:cs="Arial"/>
        </w:rPr>
        <w:t>e</w:t>
      </w:r>
      <w:r w:rsidRPr="00676B7F">
        <w:rPr>
          <w:rFonts w:cs="Arial"/>
        </w:rPr>
        <w:t xml:space="preserve"> methodolog</w:t>
      </w:r>
      <w:r w:rsidR="00184148">
        <w:rPr>
          <w:rFonts w:cs="Arial"/>
        </w:rPr>
        <w:t>ies</w:t>
      </w:r>
      <w:r w:rsidRPr="00676B7F">
        <w:rPr>
          <w:rFonts w:cs="Arial"/>
        </w:rPr>
        <w:t xml:space="preserve"> is a robust process for the management of risk within a project environment.  Each project is managed by the Project Manager who controls and co-ordinates all aspects of the project through to conclusion.</w:t>
      </w:r>
    </w:p>
    <w:p w14:paraId="733F80D0" w14:textId="77777777" w:rsidR="00E959F9" w:rsidRDefault="00E959F9" w:rsidP="0032749E">
      <w:pPr>
        <w:rPr>
          <w:rFonts w:cs="Arial"/>
          <w:b/>
        </w:rPr>
      </w:pPr>
    </w:p>
    <w:p w14:paraId="663DB308" w14:textId="03F36569" w:rsidR="00676B7F" w:rsidRDefault="001135F8" w:rsidP="003979BE">
      <w:pPr>
        <w:pStyle w:val="Heading1"/>
      </w:pPr>
      <w:r>
        <w:t xml:space="preserve"> Corporate Risk Register</w:t>
      </w:r>
      <w:r w:rsidR="00EB1D9C">
        <w:t xml:space="preserve"> </w:t>
      </w:r>
      <w:r w:rsidR="00F33108">
        <w:t>–</w:t>
      </w:r>
      <w:r w:rsidR="007C2DEB">
        <w:t xml:space="preserve"> </w:t>
      </w:r>
      <w:r w:rsidR="00EB1D9C">
        <w:t>3</w:t>
      </w:r>
      <w:r w:rsidR="00F33108">
        <w:t xml:space="preserve">1 </w:t>
      </w:r>
      <w:r w:rsidR="003B4256">
        <w:t xml:space="preserve">May </w:t>
      </w:r>
      <w:r w:rsidR="00F33108">
        <w:t>2020</w:t>
      </w:r>
    </w:p>
    <w:p w14:paraId="680A2354" w14:textId="77777777" w:rsidR="00676B7F" w:rsidRPr="00A32A7B" w:rsidRDefault="00676B7F" w:rsidP="0032749E">
      <w:pPr>
        <w:rPr>
          <w:rFonts w:cs="Arial"/>
        </w:rPr>
      </w:pPr>
    </w:p>
    <w:p w14:paraId="67FA3D28" w14:textId="74EAFE12" w:rsidR="002F4319" w:rsidRDefault="00487879" w:rsidP="002F4319">
      <w:pPr>
        <w:numPr>
          <w:ilvl w:val="0"/>
          <w:numId w:val="1"/>
        </w:numPr>
        <w:ind w:left="426" w:hanging="426"/>
        <w:rPr>
          <w:rFonts w:cs="Arial"/>
        </w:rPr>
      </w:pPr>
      <w:r>
        <w:rPr>
          <w:rFonts w:cs="Arial"/>
        </w:rPr>
        <w:t xml:space="preserve">The </w:t>
      </w:r>
      <w:r w:rsidR="0039667C">
        <w:rPr>
          <w:rFonts w:cs="Arial"/>
        </w:rPr>
        <w:t>Audit and Governance Committee receive</w:t>
      </w:r>
      <w:r>
        <w:rPr>
          <w:rFonts w:cs="Arial"/>
        </w:rPr>
        <w:t>s</w:t>
      </w:r>
      <w:r w:rsidR="0039667C">
        <w:rPr>
          <w:rFonts w:cs="Arial"/>
        </w:rPr>
        <w:t xml:space="preserve"> information on risk</w:t>
      </w:r>
      <w:r w:rsidR="00C9711C">
        <w:rPr>
          <w:rFonts w:cs="Arial"/>
        </w:rPr>
        <w:t xml:space="preserve"> on a quarterly basis. </w:t>
      </w:r>
      <w:r w:rsidR="00EB1D9C">
        <w:rPr>
          <w:rFonts w:cs="Arial"/>
        </w:rPr>
        <w:t xml:space="preserve"> </w:t>
      </w:r>
      <w:r w:rsidR="002F4319">
        <w:rPr>
          <w:rFonts w:cs="Arial"/>
        </w:rPr>
        <w:t>Given the timing of the Committee the C</w:t>
      </w:r>
      <w:r w:rsidR="002F4319" w:rsidRPr="001135F8">
        <w:rPr>
          <w:rFonts w:cs="Arial"/>
        </w:rPr>
        <w:t xml:space="preserve">orporate Risk Register </w:t>
      </w:r>
      <w:r w:rsidR="002F4319">
        <w:rPr>
          <w:rFonts w:cs="Arial"/>
        </w:rPr>
        <w:t xml:space="preserve">attached at </w:t>
      </w:r>
      <w:r w:rsidR="002F4319" w:rsidRPr="001135F8">
        <w:rPr>
          <w:rFonts w:cs="Arial"/>
        </w:rPr>
        <w:t>Appendix A</w:t>
      </w:r>
      <w:r w:rsidR="002F4319">
        <w:rPr>
          <w:rFonts w:cs="Arial"/>
        </w:rPr>
        <w:t xml:space="preserve"> is as at </w:t>
      </w:r>
      <w:r w:rsidR="003979BE">
        <w:rPr>
          <w:rFonts w:cs="Arial"/>
        </w:rPr>
        <w:t>31</w:t>
      </w:r>
      <w:r w:rsidR="00F33108">
        <w:rPr>
          <w:rFonts w:cs="Arial"/>
        </w:rPr>
        <w:t xml:space="preserve"> </w:t>
      </w:r>
      <w:r w:rsidR="00DA3392">
        <w:rPr>
          <w:rFonts w:cs="Arial"/>
        </w:rPr>
        <w:t>May.</w:t>
      </w:r>
    </w:p>
    <w:p w14:paraId="06091A1A" w14:textId="77777777" w:rsidR="002F4319" w:rsidRDefault="002F4319" w:rsidP="002F4319">
      <w:pPr>
        <w:rPr>
          <w:rFonts w:cs="Arial"/>
        </w:rPr>
      </w:pPr>
    </w:p>
    <w:p w14:paraId="263B0082" w14:textId="77777777" w:rsidR="00A0239C" w:rsidRDefault="002F4319" w:rsidP="003F6656">
      <w:pPr>
        <w:numPr>
          <w:ilvl w:val="0"/>
          <w:numId w:val="1"/>
        </w:numPr>
        <w:ind w:left="426" w:hanging="426"/>
        <w:rPr>
          <w:rFonts w:cs="Arial"/>
        </w:rPr>
      </w:pPr>
      <w:r>
        <w:rPr>
          <w:rFonts w:cs="Arial"/>
        </w:rPr>
        <w:t xml:space="preserve">The </w:t>
      </w:r>
      <w:r w:rsidR="007E2EFA">
        <w:rPr>
          <w:rFonts w:cs="Arial"/>
        </w:rPr>
        <w:t xml:space="preserve">number of Red </w:t>
      </w:r>
      <w:r w:rsidR="0088093B">
        <w:rPr>
          <w:rFonts w:cs="Arial"/>
        </w:rPr>
        <w:t>r</w:t>
      </w:r>
      <w:r w:rsidR="007E2EFA">
        <w:rPr>
          <w:rFonts w:cs="Arial"/>
        </w:rPr>
        <w:t xml:space="preserve">isks </w:t>
      </w:r>
      <w:r w:rsidR="00867E3D">
        <w:rPr>
          <w:rFonts w:cs="Arial"/>
        </w:rPr>
        <w:t xml:space="preserve">has </w:t>
      </w:r>
      <w:r w:rsidR="00F13865">
        <w:rPr>
          <w:rFonts w:cs="Arial"/>
        </w:rPr>
        <w:t>increased to t</w:t>
      </w:r>
      <w:r w:rsidR="003E7143">
        <w:rPr>
          <w:rFonts w:cs="Arial"/>
        </w:rPr>
        <w:t xml:space="preserve">hree which is </w:t>
      </w:r>
      <w:r w:rsidR="0021673D">
        <w:rPr>
          <w:rFonts w:cs="Arial"/>
        </w:rPr>
        <w:t xml:space="preserve">mainly </w:t>
      </w:r>
      <w:r w:rsidR="003E7143">
        <w:rPr>
          <w:rFonts w:cs="Arial"/>
        </w:rPr>
        <w:t>due to the challenges surrounding the Covid-19 pandemic</w:t>
      </w:r>
      <w:r w:rsidR="00F13865">
        <w:rPr>
          <w:rFonts w:cs="Arial"/>
        </w:rPr>
        <w:t>.</w:t>
      </w:r>
      <w:r w:rsidR="007E2EFA">
        <w:rPr>
          <w:rFonts w:cs="Arial"/>
        </w:rPr>
        <w:t xml:space="preserve"> </w:t>
      </w:r>
    </w:p>
    <w:p w14:paraId="408F4362" w14:textId="77777777" w:rsidR="00A0239C" w:rsidRDefault="00A0239C" w:rsidP="00A0239C">
      <w:pPr>
        <w:pStyle w:val="ListParagraph"/>
        <w:rPr>
          <w:rFonts w:cs="Arial"/>
        </w:rPr>
      </w:pPr>
    </w:p>
    <w:p w14:paraId="5318DD5E" w14:textId="77777777" w:rsidR="00196893" w:rsidRDefault="00867E3D" w:rsidP="00196893">
      <w:pPr>
        <w:pStyle w:val="ListParagraph"/>
        <w:numPr>
          <w:ilvl w:val="0"/>
          <w:numId w:val="1"/>
        </w:numPr>
        <w:ind w:left="426"/>
        <w:rPr>
          <w:rFonts w:cs="Arial"/>
        </w:rPr>
      </w:pPr>
      <w:r>
        <w:rPr>
          <w:rFonts w:cs="Arial"/>
        </w:rPr>
        <w:t>Details of the Red risk</w:t>
      </w:r>
      <w:r w:rsidR="0021673D">
        <w:rPr>
          <w:rFonts w:cs="Arial"/>
        </w:rPr>
        <w:t xml:space="preserve">s are </w:t>
      </w:r>
      <w:r>
        <w:rPr>
          <w:rFonts w:cs="Arial"/>
        </w:rPr>
        <w:t>as follows:-</w:t>
      </w:r>
    </w:p>
    <w:p w14:paraId="7BF14606" w14:textId="77777777" w:rsidR="00F87759" w:rsidRPr="00F87759" w:rsidRDefault="00F87759" w:rsidP="00F87759">
      <w:pPr>
        <w:ind w:left="1135"/>
        <w:rPr>
          <w:rFonts w:cs="Arial"/>
        </w:rPr>
      </w:pPr>
    </w:p>
    <w:p w14:paraId="72183D14" w14:textId="77777777" w:rsidR="002E495F" w:rsidRDefault="005B45AA" w:rsidP="003979BE">
      <w:pPr>
        <w:numPr>
          <w:ilvl w:val="1"/>
          <w:numId w:val="1"/>
        </w:numPr>
        <w:ind w:left="851" w:hanging="425"/>
        <w:rPr>
          <w:rFonts w:cs="Arial"/>
        </w:rPr>
      </w:pPr>
      <w:r w:rsidRPr="007C04F9">
        <w:rPr>
          <w:rFonts w:cs="Arial"/>
          <w:b/>
        </w:rPr>
        <w:lastRenderedPageBreak/>
        <w:t>Housing</w:t>
      </w:r>
      <w:r w:rsidRPr="007C04F9">
        <w:rPr>
          <w:rFonts w:cs="Arial"/>
        </w:rPr>
        <w:t xml:space="preserve"> – the Council has key priorities around housing which include ensuring housing delivery and supply for the City</w:t>
      </w:r>
      <w:r w:rsidR="00487879">
        <w:rPr>
          <w:rFonts w:cs="Arial"/>
        </w:rPr>
        <w:t xml:space="preserve"> of Oxford</w:t>
      </w:r>
      <w:r w:rsidRPr="007C04F9">
        <w:rPr>
          <w:rFonts w:cs="Arial"/>
        </w:rPr>
        <w:t xml:space="preserve"> and</w:t>
      </w:r>
      <w:r>
        <w:rPr>
          <w:rFonts w:cs="Arial"/>
        </w:rPr>
        <w:t xml:space="preserve"> enabling sufficient house building and investment. Insufficient housing in </w:t>
      </w:r>
      <w:r w:rsidR="00487879">
        <w:rPr>
          <w:rFonts w:cs="Arial"/>
        </w:rPr>
        <w:t>Oxford</w:t>
      </w:r>
      <w:r>
        <w:rPr>
          <w:rFonts w:cs="Arial"/>
        </w:rPr>
        <w:t xml:space="preserve">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lettings.</w:t>
      </w:r>
      <w:r w:rsidR="005D65ED">
        <w:rPr>
          <w:rFonts w:cs="Arial"/>
        </w:rPr>
        <w:t xml:space="preserve"> In addition </w:t>
      </w:r>
      <w:r w:rsidR="000811EE">
        <w:rPr>
          <w:rFonts w:cs="Arial"/>
        </w:rPr>
        <w:t>the Council</w:t>
      </w:r>
      <w:r w:rsidR="00CC0430">
        <w:rPr>
          <w:rFonts w:cs="Arial"/>
        </w:rPr>
        <w:t>’</w:t>
      </w:r>
      <w:r w:rsidR="000811EE">
        <w:rPr>
          <w:rFonts w:cs="Arial"/>
        </w:rPr>
        <w:t xml:space="preserve">s </w:t>
      </w:r>
      <w:r w:rsidR="00487879">
        <w:rPr>
          <w:rFonts w:cs="Arial"/>
        </w:rPr>
        <w:t>h</w:t>
      </w:r>
      <w:r w:rsidR="000811EE">
        <w:rPr>
          <w:rFonts w:cs="Arial"/>
        </w:rPr>
        <w:t xml:space="preserve">ousing </w:t>
      </w:r>
      <w:r w:rsidR="00487879">
        <w:rPr>
          <w:rFonts w:cs="Arial"/>
        </w:rPr>
        <w:t>c</w:t>
      </w:r>
      <w:r w:rsidR="000811EE">
        <w:rPr>
          <w:rFonts w:cs="Arial"/>
        </w:rPr>
        <w:t>ompan</w:t>
      </w:r>
      <w:r w:rsidR="00CC0430">
        <w:rPr>
          <w:rFonts w:cs="Arial"/>
        </w:rPr>
        <w:t>ies</w:t>
      </w:r>
      <w:r w:rsidR="000811EE">
        <w:rPr>
          <w:rFonts w:cs="Arial"/>
        </w:rPr>
        <w:t xml:space="preserve"> are in the process of constructing new affordable homes and the Cabinet ha</w:t>
      </w:r>
      <w:r w:rsidR="00CC0430">
        <w:rPr>
          <w:rFonts w:cs="Arial"/>
        </w:rPr>
        <w:t>s</w:t>
      </w:r>
      <w:r w:rsidR="000811EE">
        <w:rPr>
          <w:rFonts w:cs="Arial"/>
        </w:rPr>
        <w:t xml:space="preserve"> approved plans which </w:t>
      </w:r>
      <w:r w:rsidR="00156742">
        <w:rPr>
          <w:rFonts w:cs="Arial"/>
        </w:rPr>
        <w:t>w</w:t>
      </w:r>
      <w:r w:rsidR="000811EE">
        <w:rPr>
          <w:rFonts w:cs="Arial"/>
        </w:rPr>
        <w:t>ill result in the Council</w:t>
      </w:r>
      <w:r w:rsidR="00CC0430">
        <w:rPr>
          <w:rFonts w:cs="Arial"/>
        </w:rPr>
        <w:t>’</w:t>
      </w:r>
      <w:r w:rsidR="000811EE">
        <w:rPr>
          <w:rFonts w:cs="Arial"/>
        </w:rPr>
        <w:t>s H</w:t>
      </w:r>
      <w:r w:rsidR="00487879">
        <w:rPr>
          <w:rFonts w:cs="Arial"/>
        </w:rPr>
        <w:t xml:space="preserve">ousing </w:t>
      </w:r>
      <w:r w:rsidR="000811EE">
        <w:rPr>
          <w:rFonts w:cs="Arial"/>
        </w:rPr>
        <w:t>R</w:t>
      </w:r>
      <w:r w:rsidR="00487879">
        <w:rPr>
          <w:rFonts w:cs="Arial"/>
        </w:rPr>
        <w:t xml:space="preserve">evenue </w:t>
      </w:r>
      <w:r w:rsidR="000811EE">
        <w:rPr>
          <w:rFonts w:cs="Arial"/>
        </w:rPr>
        <w:t>A</w:t>
      </w:r>
      <w:r w:rsidR="00487879">
        <w:rPr>
          <w:rFonts w:cs="Arial"/>
        </w:rPr>
        <w:t>ccount</w:t>
      </w:r>
      <w:r w:rsidR="00A60E0E">
        <w:rPr>
          <w:rFonts w:cs="Arial"/>
        </w:rPr>
        <w:t xml:space="preserve"> (“HRA”)</w:t>
      </w:r>
      <w:r w:rsidR="000811EE">
        <w:rPr>
          <w:rFonts w:cs="Arial"/>
        </w:rPr>
        <w:t xml:space="preserve"> purchasing the social housing using its new borrowing headroom</w:t>
      </w:r>
      <w:r w:rsidR="00A60E0E">
        <w:rPr>
          <w:rFonts w:cs="Arial"/>
        </w:rPr>
        <w:t>,</w:t>
      </w:r>
      <w:r w:rsidR="000811EE">
        <w:rPr>
          <w:rFonts w:cs="Arial"/>
        </w:rPr>
        <w:t xml:space="preserve"> </w:t>
      </w:r>
      <w:r w:rsidR="005D65ED">
        <w:rPr>
          <w:rFonts w:cs="Arial"/>
        </w:rPr>
        <w:t xml:space="preserve">following the removal of the HRA borrowing cap by </w:t>
      </w:r>
      <w:r w:rsidR="00A60E0E">
        <w:rPr>
          <w:rFonts w:cs="Arial"/>
        </w:rPr>
        <w:t>central g</w:t>
      </w:r>
      <w:r w:rsidR="005D65ED">
        <w:rPr>
          <w:rFonts w:cs="Arial"/>
        </w:rPr>
        <w:t>overnment</w:t>
      </w:r>
      <w:r w:rsidR="00A60E0E">
        <w:rPr>
          <w:rFonts w:cs="Arial"/>
        </w:rPr>
        <w:t>.</w:t>
      </w:r>
      <w:r w:rsidR="00F13865">
        <w:rPr>
          <w:rFonts w:cs="Arial"/>
        </w:rPr>
        <w:t xml:space="preserve"> This has become more challenging in the short term due to the Covid-19 pandemic which has paused any delivery in the housing supply.</w:t>
      </w:r>
    </w:p>
    <w:p w14:paraId="26EC0D7F" w14:textId="77777777" w:rsidR="00F6539C" w:rsidRPr="00516995" w:rsidRDefault="00F6539C" w:rsidP="003979BE">
      <w:pPr>
        <w:ind w:left="1572"/>
        <w:rPr>
          <w:rFonts w:cs="Arial"/>
        </w:rPr>
      </w:pPr>
    </w:p>
    <w:p w14:paraId="43DDD3CC" w14:textId="77777777" w:rsidR="003979BE" w:rsidRDefault="009306D9" w:rsidP="003979BE">
      <w:pPr>
        <w:numPr>
          <w:ilvl w:val="1"/>
          <w:numId w:val="1"/>
        </w:numPr>
        <w:ind w:left="851" w:hanging="425"/>
        <w:rPr>
          <w:rFonts w:cs="Arial"/>
        </w:rPr>
      </w:pPr>
      <w:r w:rsidRPr="00516995">
        <w:rPr>
          <w:rFonts w:cs="Arial"/>
          <w:b/>
        </w:rPr>
        <w:t>Economic Growth</w:t>
      </w:r>
      <w:r>
        <w:rPr>
          <w:rFonts w:cs="Arial"/>
        </w:rPr>
        <w:t xml:space="preserve"> – this relates to local, national or international factors adversely affecting the economic growth of the City. The economic impact of Covid-19 will affect the livelihoods and jobs of thousands of people in </w:t>
      </w:r>
      <w:r w:rsidR="00F6539C">
        <w:rPr>
          <w:rFonts w:cs="Arial"/>
        </w:rPr>
        <w:t xml:space="preserve">Oxford. Social distancing and partial re-openings affect consumption on the High Street and the viability of some retail, hospitality and catering businesses. The wider economy is not immune with redundancies being announced by larger employers in other sectors as well as damaging impacts to education, transport, </w:t>
      </w:r>
      <w:r w:rsidR="007232A2">
        <w:rPr>
          <w:rFonts w:cs="Arial"/>
        </w:rPr>
        <w:t>and property</w:t>
      </w:r>
      <w:r w:rsidR="00F6539C">
        <w:rPr>
          <w:rFonts w:cs="Arial"/>
        </w:rPr>
        <w:t>, creative and cultural sectors. Economic output could reduce by 15 - 20% or more and business numbers by a similar proportion. This potentially equates to £1Bn of output in Oxford.</w:t>
      </w:r>
      <w:r w:rsidR="003E7143">
        <w:rPr>
          <w:rFonts w:cs="Arial"/>
        </w:rPr>
        <w:t xml:space="preserve"> Delivery of a City and County wide Economic Recovery &amp; Resilience Plan with actions across a range of services and functions is being </w:t>
      </w:r>
      <w:r w:rsidR="00AC3B83">
        <w:rPr>
          <w:rFonts w:cs="Arial"/>
        </w:rPr>
        <w:t>developed. This</w:t>
      </w:r>
      <w:r w:rsidR="003E7143">
        <w:rPr>
          <w:rFonts w:cs="Arial"/>
        </w:rPr>
        <w:t xml:space="preserve"> will be a phased restart through to long term recovery and renewal over a minimum 3 year period. </w:t>
      </w:r>
    </w:p>
    <w:p w14:paraId="671B4253" w14:textId="77777777" w:rsidR="003979BE" w:rsidRDefault="003979BE" w:rsidP="003979BE">
      <w:pPr>
        <w:pStyle w:val="ListParagraph"/>
        <w:rPr>
          <w:rFonts w:cs="Arial"/>
          <w:b/>
        </w:rPr>
      </w:pPr>
    </w:p>
    <w:p w14:paraId="5E4566D6" w14:textId="3013150C" w:rsidR="00F13865" w:rsidRPr="003979BE" w:rsidRDefault="00FB5F64" w:rsidP="003979BE">
      <w:pPr>
        <w:numPr>
          <w:ilvl w:val="1"/>
          <w:numId w:val="1"/>
        </w:numPr>
        <w:ind w:left="851" w:hanging="425"/>
        <w:rPr>
          <w:rFonts w:cs="Arial"/>
        </w:rPr>
      </w:pPr>
      <w:r w:rsidRPr="003979BE">
        <w:rPr>
          <w:rFonts w:cs="Arial"/>
          <w:b/>
        </w:rPr>
        <w:t xml:space="preserve">Balancing &amp; Delivery of the Financial Plan </w:t>
      </w:r>
      <w:r w:rsidRPr="003979BE">
        <w:rPr>
          <w:rFonts w:cs="Arial"/>
        </w:rPr>
        <w:t>–</w:t>
      </w:r>
      <w:r w:rsidR="00F13865" w:rsidRPr="003979BE">
        <w:rPr>
          <w:rFonts w:cs="Arial"/>
        </w:rPr>
        <w:t xml:space="preserve"> </w:t>
      </w:r>
      <w:r w:rsidR="00DF5454" w:rsidRPr="003979BE">
        <w:rPr>
          <w:rFonts w:cs="Arial"/>
        </w:rPr>
        <w:t xml:space="preserve">this risk has become red due to the adverse financial impacts arising from the covid-19 pandemic and the economic aftermath.  </w:t>
      </w:r>
      <w:r w:rsidR="009A17A3" w:rsidRPr="003979BE">
        <w:rPr>
          <w:rFonts w:cs="Arial"/>
        </w:rPr>
        <w:t>The pandemic and the resulting actions necessary to deal with it has led to far reaching economic impacts.  Experts believe that the economy will take years to recover.  There is therefore considerable financial uncertainty around the current estimates especially around income streams which is compounded by additional expenditure needed to support the community through the crisis.  The short term impact can be mitigated through the use of balances, however these are one-off and a full reset of budgets is needed which wil be reported to Cabinet in December 2020.</w:t>
      </w:r>
    </w:p>
    <w:p w14:paraId="27871408" w14:textId="77777777" w:rsidR="002D1E64" w:rsidRDefault="002D1E64" w:rsidP="002D1E64">
      <w:pPr>
        <w:ind w:left="1855"/>
        <w:rPr>
          <w:rFonts w:cs="Arial"/>
        </w:rPr>
      </w:pPr>
    </w:p>
    <w:p w14:paraId="5CFE13ED" w14:textId="77777777" w:rsidR="00DA3392" w:rsidRDefault="00DA3392" w:rsidP="002D1E64">
      <w:pPr>
        <w:ind w:left="1855"/>
        <w:rPr>
          <w:rFonts w:cs="Arial"/>
        </w:rPr>
      </w:pPr>
    </w:p>
    <w:p w14:paraId="33548744" w14:textId="6F36CFCB" w:rsidR="007805A4" w:rsidRDefault="00444D14" w:rsidP="00B56739">
      <w:pPr>
        <w:numPr>
          <w:ilvl w:val="0"/>
          <w:numId w:val="1"/>
        </w:numPr>
        <w:ind w:left="360" w:hanging="426"/>
        <w:rPr>
          <w:rFonts w:cs="Arial"/>
        </w:rPr>
      </w:pPr>
      <w:r w:rsidRPr="007756E5">
        <w:rPr>
          <w:rFonts w:cs="Arial"/>
        </w:rPr>
        <w:t xml:space="preserve">No risks have been closed in </w:t>
      </w:r>
      <w:r w:rsidR="0090431F" w:rsidRPr="007756E5">
        <w:rPr>
          <w:rFonts w:cs="Arial"/>
        </w:rPr>
        <w:t>the period</w:t>
      </w:r>
      <w:r w:rsidRPr="007756E5">
        <w:rPr>
          <w:rFonts w:cs="Arial"/>
        </w:rPr>
        <w:t>.</w:t>
      </w:r>
    </w:p>
    <w:p w14:paraId="1A4F4C82" w14:textId="77777777" w:rsidR="00DA3392" w:rsidRPr="00DA3392" w:rsidRDefault="00DA3392" w:rsidP="00DA3392">
      <w:pPr>
        <w:ind w:left="360"/>
        <w:rPr>
          <w:rFonts w:cs="Arial"/>
        </w:rPr>
      </w:pPr>
    </w:p>
    <w:p w14:paraId="4CD61B16" w14:textId="77777777" w:rsidR="00DF0DF1" w:rsidRPr="002B0EBA" w:rsidRDefault="00DF0DF1" w:rsidP="002B0EBA">
      <w:pPr>
        <w:rPr>
          <w:rFonts w:cs="Arial"/>
        </w:rPr>
      </w:pPr>
    </w:p>
    <w:p w14:paraId="4CD9FD99" w14:textId="77777777"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w:t>
      </w:r>
      <w:r w:rsidR="00307477">
        <w:rPr>
          <w:rFonts w:cs="Arial"/>
        </w:rPr>
        <w:t>R</w:t>
      </w:r>
      <w:r w:rsidR="004C0AA4">
        <w:rPr>
          <w:rFonts w:cs="Arial"/>
        </w:rPr>
        <w:t xml:space="preserve">ed, </w:t>
      </w:r>
      <w:r w:rsidR="00307477">
        <w:rPr>
          <w:rFonts w:cs="Arial"/>
        </w:rPr>
        <w:t>A</w:t>
      </w:r>
      <w:r w:rsidR="004C0AA4">
        <w:rPr>
          <w:rFonts w:cs="Arial"/>
        </w:rPr>
        <w:t xml:space="preserve">mber and </w:t>
      </w:r>
      <w:r w:rsidR="00307477">
        <w:rPr>
          <w:rFonts w:cs="Arial"/>
        </w:rPr>
        <w:t>G</w:t>
      </w:r>
      <w:r w:rsidR="004C0AA4">
        <w:rPr>
          <w:rFonts w:cs="Arial"/>
        </w:rPr>
        <w:t xml:space="preserve">reen </w:t>
      </w:r>
      <w:r w:rsidR="008F2687">
        <w:rPr>
          <w:rFonts w:cs="Arial"/>
        </w:rPr>
        <w:t xml:space="preserve">current </w:t>
      </w:r>
      <w:r w:rsidR="004C0AA4">
        <w:rPr>
          <w:rFonts w:cs="Arial"/>
        </w:rPr>
        <w:t xml:space="preserve">risks </w:t>
      </w:r>
      <w:r w:rsidRPr="00B77C83">
        <w:rPr>
          <w:rFonts w:cs="Arial"/>
        </w:rPr>
        <w:t>over the last 12 months.</w:t>
      </w:r>
    </w:p>
    <w:p w14:paraId="61E2B1EB" w14:textId="77777777" w:rsidR="000116FF" w:rsidRDefault="000116FF" w:rsidP="003722CF">
      <w:pPr>
        <w:rPr>
          <w:rFonts w:cs="Arial"/>
        </w:rPr>
      </w:pPr>
    </w:p>
    <w:tbl>
      <w:tblPr>
        <w:tblW w:w="6322" w:type="dxa"/>
        <w:tblInd w:w="720" w:type="dxa"/>
        <w:tblLook w:val="04A0" w:firstRow="1" w:lastRow="0" w:firstColumn="1" w:lastColumn="0" w:noHBand="0" w:noVBand="1"/>
      </w:tblPr>
      <w:tblGrid>
        <w:gridCol w:w="1660"/>
        <w:gridCol w:w="1103"/>
        <w:gridCol w:w="1104"/>
        <w:gridCol w:w="1104"/>
        <w:gridCol w:w="1351"/>
      </w:tblGrid>
      <w:tr w:rsidR="003F6656" w:rsidRPr="000A470B" w14:paraId="35337CCE" w14:textId="77777777" w:rsidTr="003F6656">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0D06E52" w14:textId="77777777" w:rsidR="003F6656" w:rsidRPr="000A470B" w:rsidRDefault="003F6656" w:rsidP="000A470B">
            <w:pPr>
              <w:rPr>
                <w:rFonts w:cs="Arial"/>
                <w:b/>
                <w:bCs/>
                <w:color w:val="000000"/>
                <w:lang w:eastAsia="en-GB"/>
              </w:rPr>
            </w:pPr>
            <w:r w:rsidRPr="000A470B">
              <w:rPr>
                <w:rFonts w:cs="Arial"/>
                <w:b/>
                <w:bCs/>
                <w:color w:val="000000"/>
                <w:lang w:eastAsia="en-GB"/>
              </w:rPr>
              <w:t>Current Risk</w:t>
            </w:r>
          </w:p>
        </w:tc>
        <w:tc>
          <w:tcPr>
            <w:tcW w:w="11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25137B" w14:textId="77777777" w:rsidR="003F6656" w:rsidRPr="000A470B" w:rsidRDefault="00F33108">
            <w:pPr>
              <w:jc w:val="right"/>
              <w:rPr>
                <w:rFonts w:cs="Arial"/>
                <w:b/>
                <w:bCs/>
                <w:color w:val="000000"/>
                <w:lang w:eastAsia="en-GB"/>
              </w:rPr>
            </w:pPr>
            <w:r>
              <w:rPr>
                <w:rFonts w:cs="Arial"/>
                <w:b/>
                <w:bCs/>
                <w:color w:val="000000"/>
                <w:lang w:eastAsia="en-GB"/>
              </w:rPr>
              <w:t>Q</w:t>
            </w:r>
            <w:r w:rsidR="00F13865">
              <w:rPr>
                <w:rFonts w:cs="Arial"/>
                <w:b/>
                <w:bCs/>
                <w:color w:val="000000"/>
                <w:lang w:eastAsia="en-GB"/>
              </w:rPr>
              <w:t>2</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6951C5" w14:textId="77777777" w:rsidR="003F6656" w:rsidRPr="000A470B" w:rsidRDefault="000F699E">
            <w:pPr>
              <w:jc w:val="right"/>
              <w:rPr>
                <w:rFonts w:cs="Arial"/>
                <w:b/>
                <w:bCs/>
                <w:color w:val="000000"/>
                <w:lang w:eastAsia="en-GB"/>
              </w:rPr>
            </w:pPr>
            <w:r>
              <w:rPr>
                <w:rFonts w:cs="Arial"/>
                <w:b/>
                <w:bCs/>
                <w:color w:val="000000"/>
                <w:lang w:eastAsia="en-GB"/>
              </w:rPr>
              <w:t>Q</w:t>
            </w:r>
            <w:r w:rsidR="00F13865">
              <w:rPr>
                <w:rFonts w:cs="Arial"/>
                <w:b/>
                <w:bCs/>
                <w:color w:val="000000"/>
                <w:lang w:eastAsia="en-GB"/>
              </w:rPr>
              <w:t>3</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729E40" w14:textId="77777777" w:rsidR="003F6656" w:rsidRPr="000A470B" w:rsidRDefault="00156742">
            <w:pPr>
              <w:jc w:val="right"/>
              <w:rPr>
                <w:rFonts w:cs="Arial"/>
                <w:b/>
                <w:bCs/>
                <w:color w:val="000000"/>
                <w:lang w:eastAsia="en-GB"/>
              </w:rPr>
            </w:pPr>
            <w:r>
              <w:rPr>
                <w:rFonts w:cs="Arial"/>
                <w:b/>
                <w:bCs/>
                <w:color w:val="000000"/>
                <w:lang w:eastAsia="en-GB"/>
              </w:rPr>
              <w:t>Q</w:t>
            </w:r>
            <w:r w:rsidR="00F13865">
              <w:rPr>
                <w:rFonts w:cs="Arial"/>
                <w:b/>
                <w:bCs/>
                <w:color w:val="000000"/>
                <w:lang w:eastAsia="en-GB"/>
              </w:rPr>
              <w:t>4</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351" w:type="dxa"/>
            <w:tcBorders>
              <w:top w:val="single" w:sz="8" w:space="0" w:color="000000"/>
              <w:left w:val="single" w:sz="8" w:space="0" w:color="000000"/>
              <w:bottom w:val="single" w:sz="8" w:space="0" w:color="000000"/>
              <w:right w:val="single" w:sz="4" w:space="0" w:color="auto"/>
            </w:tcBorders>
            <w:vAlign w:val="center"/>
          </w:tcPr>
          <w:p w14:paraId="732DD31D" w14:textId="77777777" w:rsidR="00F13865" w:rsidRDefault="00AE1C6D">
            <w:pPr>
              <w:jc w:val="right"/>
              <w:rPr>
                <w:rFonts w:cs="Arial"/>
                <w:b/>
                <w:bCs/>
                <w:color w:val="000000"/>
                <w:lang w:eastAsia="en-GB"/>
              </w:rPr>
            </w:pPr>
            <w:r>
              <w:rPr>
                <w:rFonts w:cs="Arial"/>
                <w:b/>
                <w:bCs/>
                <w:color w:val="000000"/>
                <w:lang w:eastAsia="en-GB"/>
              </w:rPr>
              <w:t>Q</w:t>
            </w:r>
            <w:r w:rsidR="00F13865">
              <w:rPr>
                <w:rFonts w:cs="Arial"/>
                <w:b/>
                <w:bCs/>
                <w:color w:val="000000"/>
                <w:lang w:eastAsia="en-GB"/>
              </w:rPr>
              <w:t>1</w:t>
            </w:r>
            <w:r w:rsidR="003F6656" w:rsidRPr="000A470B">
              <w:rPr>
                <w:rFonts w:cs="Arial"/>
                <w:b/>
                <w:bCs/>
                <w:color w:val="000000"/>
                <w:lang w:eastAsia="en-GB"/>
              </w:rPr>
              <w:t xml:space="preserve"> </w:t>
            </w:r>
          </w:p>
          <w:p w14:paraId="400905E2" w14:textId="77777777" w:rsidR="003F6656" w:rsidRDefault="003F6656">
            <w:pPr>
              <w:jc w:val="right"/>
              <w:rPr>
                <w:rFonts w:cs="Arial"/>
                <w:b/>
                <w:bCs/>
                <w:color w:val="000000"/>
                <w:lang w:eastAsia="en-GB"/>
              </w:rPr>
            </w:pPr>
            <w:r w:rsidRPr="000A470B">
              <w:rPr>
                <w:rFonts w:cs="Arial"/>
                <w:b/>
                <w:bCs/>
                <w:color w:val="000000"/>
                <w:lang w:eastAsia="en-GB"/>
              </w:rPr>
              <w:t>20</w:t>
            </w:r>
            <w:r w:rsidR="00F13865">
              <w:rPr>
                <w:rFonts w:cs="Arial"/>
                <w:b/>
                <w:bCs/>
                <w:color w:val="000000"/>
                <w:lang w:eastAsia="en-GB"/>
              </w:rPr>
              <w:t>20</w:t>
            </w:r>
            <w:r w:rsidRPr="000A470B">
              <w:rPr>
                <w:rFonts w:cs="Arial"/>
                <w:b/>
                <w:bCs/>
                <w:color w:val="000000"/>
                <w:lang w:eastAsia="en-GB"/>
              </w:rPr>
              <w:t>/</w:t>
            </w:r>
            <w:r w:rsidR="00AE1C6D">
              <w:rPr>
                <w:rFonts w:cs="Arial"/>
                <w:b/>
                <w:bCs/>
                <w:color w:val="000000"/>
                <w:lang w:eastAsia="en-GB"/>
              </w:rPr>
              <w:t>2</w:t>
            </w:r>
            <w:r w:rsidR="00F13865">
              <w:rPr>
                <w:rFonts w:cs="Arial"/>
                <w:b/>
                <w:bCs/>
                <w:color w:val="000000"/>
                <w:lang w:eastAsia="en-GB"/>
              </w:rPr>
              <w:t>1</w:t>
            </w:r>
          </w:p>
        </w:tc>
      </w:tr>
      <w:tr w:rsidR="003F6656" w:rsidRPr="000A470B" w14:paraId="0B329EC3" w14:textId="77777777"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1347AC2D" w14:textId="77777777" w:rsidR="003F6656" w:rsidRPr="000A470B" w:rsidRDefault="003F6656" w:rsidP="000A470B">
            <w:pPr>
              <w:rPr>
                <w:rFonts w:cs="Arial"/>
                <w:color w:val="000000"/>
                <w:lang w:eastAsia="en-GB"/>
              </w:rPr>
            </w:pPr>
            <w:r w:rsidRPr="000A470B">
              <w:rPr>
                <w:rFonts w:cs="Arial"/>
                <w:color w:val="000000"/>
                <w:lang w:eastAsia="en-GB"/>
              </w:rPr>
              <w:t>Red</w:t>
            </w:r>
          </w:p>
        </w:tc>
        <w:tc>
          <w:tcPr>
            <w:tcW w:w="1103" w:type="dxa"/>
            <w:tcBorders>
              <w:top w:val="nil"/>
              <w:left w:val="nil"/>
              <w:bottom w:val="single" w:sz="8" w:space="0" w:color="000000"/>
              <w:right w:val="single" w:sz="8" w:space="0" w:color="000000"/>
            </w:tcBorders>
            <w:shd w:val="clear" w:color="auto" w:fill="auto"/>
            <w:vAlign w:val="center"/>
            <w:hideMark/>
          </w:tcPr>
          <w:p w14:paraId="3FA4FCCF" w14:textId="77777777" w:rsidR="003F6656" w:rsidRPr="000A470B" w:rsidRDefault="00F13865">
            <w:pPr>
              <w:jc w:val="right"/>
              <w:rPr>
                <w:rFonts w:cs="Arial"/>
                <w:color w:val="000000"/>
                <w:lang w:eastAsia="en-GB"/>
              </w:rPr>
            </w:pPr>
            <w:r>
              <w:rPr>
                <w:rFonts w:cs="Arial"/>
                <w:color w:val="000000"/>
                <w:lang w:eastAsia="en-GB"/>
              </w:rPr>
              <w:t>3</w:t>
            </w:r>
          </w:p>
        </w:tc>
        <w:tc>
          <w:tcPr>
            <w:tcW w:w="1104" w:type="dxa"/>
            <w:tcBorders>
              <w:top w:val="nil"/>
              <w:left w:val="nil"/>
              <w:bottom w:val="single" w:sz="8" w:space="0" w:color="000000"/>
              <w:right w:val="single" w:sz="8" w:space="0" w:color="000000"/>
            </w:tcBorders>
            <w:shd w:val="clear" w:color="auto" w:fill="auto"/>
            <w:vAlign w:val="center"/>
            <w:hideMark/>
          </w:tcPr>
          <w:p w14:paraId="37836F76" w14:textId="77777777" w:rsidR="003F6656" w:rsidRPr="000A470B" w:rsidRDefault="00F13865">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14:paraId="4857C8AD" w14:textId="77777777" w:rsidR="003F6656" w:rsidRPr="000A470B" w:rsidRDefault="00F33108" w:rsidP="00753A97">
            <w:pPr>
              <w:jc w:val="right"/>
              <w:rPr>
                <w:rFonts w:cs="Arial"/>
                <w:color w:val="000000"/>
                <w:lang w:eastAsia="en-GB"/>
              </w:rPr>
            </w:pPr>
            <w:r>
              <w:rPr>
                <w:rFonts w:cs="Arial"/>
                <w:color w:val="000000"/>
                <w:lang w:eastAsia="en-GB"/>
              </w:rPr>
              <w:t>1</w:t>
            </w:r>
          </w:p>
        </w:tc>
        <w:tc>
          <w:tcPr>
            <w:tcW w:w="1351" w:type="dxa"/>
            <w:tcBorders>
              <w:top w:val="single" w:sz="8" w:space="0" w:color="000000"/>
              <w:left w:val="nil"/>
              <w:bottom w:val="single" w:sz="8" w:space="0" w:color="000000"/>
              <w:right w:val="single" w:sz="4" w:space="0" w:color="auto"/>
            </w:tcBorders>
            <w:vAlign w:val="center"/>
          </w:tcPr>
          <w:p w14:paraId="6ABA6146" w14:textId="77777777" w:rsidR="003F6656" w:rsidRDefault="009306D9">
            <w:pPr>
              <w:jc w:val="right"/>
              <w:rPr>
                <w:rFonts w:cs="Arial"/>
                <w:color w:val="000000"/>
                <w:lang w:eastAsia="en-GB"/>
              </w:rPr>
            </w:pPr>
            <w:r>
              <w:rPr>
                <w:rFonts w:cs="Arial"/>
                <w:color w:val="000000"/>
                <w:lang w:eastAsia="en-GB"/>
              </w:rPr>
              <w:t>3</w:t>
            </w:r>
          </w:p>
        </w:tc>
      </w:tr>
      <w:tr w:rsidR="003F6656" w:rsidRPr="000A470B" w14:paraId="2F6DA89C" w14:textId="77777777"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30015AA2" w14:textId="77777777" w:rsidR="003F6656" w:rsidRPr="000A470B" w:rsidRDefault="003F6656" w:rsidP="000A470B">
            <w:pPr>
              <w:rPr>
                <w:rFonts w:cs="Arial"/>
                <w:color w:val="000000"/>
                <w:lang w:eastAsia="en-GB"/>
              </w:rPr>
            </w:pPr>
            <w:r w:rsidRPr="000A470B">
              <w:rPr>
                <w:rFonts w:cs="Arial"/>
                <w:color w:val="000000"/>
                <w:lang w:eastAsia="en-GB"/>
              </w:rPr>
              <w:t>Amber</w:t>
            </w:r>
          </w:p>
        </w:tc>
        <w:tc>
          <w:tcPr>
            <w:tcW w:w="1103" w:type="dxa"/>
            <w:tcBorders>
              <w:top w:val="nil"/>
              <w:left w:val="nil"/>
              <w:bottom w:val="single" w:sz="8" w:space="0" w:color="000000"/>
              <w:right w:val="single" w:sz="8" w:space="0" w:color="000000"/>
            </w:tcBorders>
            <w:shd w:val="clear" w:color="auto" w:fill="auto"/>
            <w:vAlign w:val="center"/>
            <w:hideMark/>
          </w:tcPr>
          <w:p w14:paraId="3EFED0BE" w14:textId="77777777" w:rsidR="003F6656" w:rsidRPr="000A470B" w:rsidRDefault="00F13865">
            <w:pPr>
              <w:jc w:val="right"/>
              <w:rPr>
                <w:rFonts w:cs="Arial"/>
                <w:color w:val="000000"/>
                <w:lang w:eastAsia="en-GB"/>
              </w:rPr>
            </w:pPr>
            <w:r>
              <w:rPr>
                <w:rFonts w:cs="Arial"/>
                <w:color w:val="000000"/>
                <w:lang w:eastAsia="en-GB"/>
              </w:rPr>
              <w:t>8</w:t>
            </w:r>
          </w:p>
        </w:tc>
        <w:tc>
          <w:tcPr>
            <w:tcW w:w="1104" w:type="dxa"/>
            <w:tcBorders>
              <w:top w:val="nil"/>
              <w:left w:val="nil"/>
              <w:bottom w:val="single" w:sz="8" w:space="0" w:color="000000"/>
              <w:right w:val="single" w:sz="8" w:space="0" w:color="000000"/>
            </w:tcBorders>
            <w:shd w:val="clear" w:color="auto" w:fill="auto"/>
            <w:vAlign w:val="center"/>
            <w:hideMark/>
          </w:tcPr>
          <w:p w14:paraId="509AE556" w14:textId="77777777" w:rsidR="003F6656" w:rsidRPr="000A470B" w:rsidRDefault="00F13865">
            <w:pPr>
              <w:jc w:val="right"/>
              <w:rPr>
                <w:rFonts w:cs="Arial"/>
                <w:color w:val="000000"/>
                <w:lang w:eastAsia="en-GB"/>
              </w:rPr>
            </w:pPr>
            <w:r>
              <w:rPr>
                <w:rFonts w:cs="Arial"/>
                <w:color w:val="000000"/>
                <w:lang w:eastAsia="en-GB"/>
              </w:rPr>
              <w:t>9</w:t>
            </w:r>
          </w:p>
        </w:tc>
        <w:tc>
          <w:tcPr>
            <w:tcW w:w="1104" w:type="dxa"/>
            <w:tcBorders>
              <w:top w:val="nil"/>
              <w:left w:val="nil"/>
              <w:bottom w:val="single" w:sz="8" w:space="0" w:color="000000"/>
              <w:right w:val="single" w:sz="8" w:space="0" w:color="000000"/>
            </w:tcBorders>
            <w:shd w:val="clear" w:color="auto" w:fill="auto"/>
            <w:vAlign w:val="center"/>
            <w:hideMark/>
          </w:tcPr>
          <w:p w14:paraId="615CE5B0" w14:textId="77777777" w:rsidR="003F6656" w:rsidRPr="000A470B" w:rsidRDefault="00F13865">
            <w:pPr>
              <w:jc w:val="right"/>
              <w:rPr>
                <w:rFonts w:cs="Arial"/>
                <w:color w:val="000000"/>
                <w:lang w:eastAsia="en-GB"/>
              </w:rPr>
            </w:pPr>
            <w:r>
              <w:rPr>
                <w:rFonts w:cs="Arial"/>
                <w:color w:val="000000"/>
                <w:lang w:eastAsia="en-GB"/>
              </w:rPr>
              <w:t>10</w:t>
            </w:r>
          </w:p>
        </w:tc>
        <w:tc>
          <w:tcPr>
            <w:tcW w:w="1351" w:type="dxa"/>
            <w:tcBorders>
              <w:top w:val="single" w:sz="8" w:space="0" w:color="000000"/>
              <w:left w:val="nil"/>
              <w:bottom w:val="single" w:sz="8" w:space="0" w:color="000000"/>
              <w:right w:val="single" w:sz="4" w:space="0" w:color="auto"/>
            </w:tcBorders>
            <w:vAlign w:val="center"/>
          </w:tcPr>
          <w:p w14:paraId="43E47BC9" w14:textId="77777777" w:rsidR="003F6656" w:rsidRDefault="00F13865">
            <w:pPr>
              <w:jc w:val="right"/>
              <w:rPr>
                <w:rFonts w:cs="Arial"/>
                <w:color w:val="000000"/>
                <w:lang w:eastAsia="en-GB"/>
              </w:rPr>
            </w:pPr>
            <w:r>
              <w:rPr>
                <w:rFonts w:cs="Arial"/>
                <w:color w:val="000000"/>
                <w:lang w:eastAsia="en-GB"/>
              </w:rPr>
              <w:t>8</w:t>
            </w:r>
          </w:p>
        </w:tc>
      </w:tr>
      <w:tr w:rsidR="003F6656" w:rsidRPr="000A470B" w14:paraId="3A06AE46" w14:textId="77777777"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1CEA334E" w14:textId="77777777" w:rsidR="003F6656" w:rsidRPr="000A470B" w:rsidRDefault="003F6656" w:rsidP="000A470B">
            <w:pPr>
              <w:rPr>
                <w:rFonts w:cs="Arial"/>
                <w:color w:val="000000"/>
                <w:lang w:eastAsia="en-GB"/>
              </w:rPr>
            </w:pPr>
            <w:r w:rsidRPr="000A470B">
              <w:rPr>
                <w:rFonts w:cs="Arial"/>
                <w:color w:val="000000"/>
                <w:lang w:eastAsia="en-GB"/>
              </w:rPr>
              <w:t>Green</w:t>
            </w:r>
          </w:p>
        </w:tc>
        <w:tc>
          <w:tcPr>
            <w:tcW w:w="1103" w:type="dxa"/>
            <w:tcBorders>
              <w:top w:val="nil"/>
              <w:left w:val="nil"/>
              <w:bottom w:val="single" w:sz="8" w:space="0" w:color="000000"/>
              <w:right w:val="single" w:sz="8" w:space="0" w:color="000000"/>
            </w:tcBorders>
            <w:shd w:val="clear" w:color="auto" w:fill="auto"/>
            <w:vAlign w:val="center"/>
            <w:hideMark/>
          </w:tcPr>
          <w:p w14:paraId="5FBEE783" w14:textId="77777777" w:rsidR="003F6656" w:rsidRPr="000A470B" w:rsidRDefault="00F33108" w:rsidP="00753A97">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14:paraId="39C484ED" w14:textId="77777777" w:rsidR="003F6656" w:rsidRPr="000A470B" w:rsidRDefault="00F13865">
            <w:pPr>
              <w:jc w:val="right"/>
              <w:rPr>
                <w:rFonts w:cs="Arial"/>
                <w:color w:val="000000"/>
                <w:lang w:eastAsia="en-GB"/>
              </w:rPr>
            </w:pPr>
            <w:r>
              <w:rPr>
                <w:rFonts w:cs="Arial"/>
                <w:color w:val="000000"/>
                <w:lang w:eastAsia="en-GB"/>
              </w:rPr>
              <w:t>2</w:t>
            </w:r>
          </w:p>
        </w:tc>
        <w:tc>
          <w:tcPr>
            <w:tcW w:w="1104" w:type="dxa"/>
            <w:tcBorders>
              <w:top w:val="nil"/>
              <w:left w:val="nil"/>
              <w:bottom w:val="single" w:sz="8" w:space="0" w:color="000000"/>
              <w:right w:val="single" w:sz="8" w:space="0" w:color="000000"/>
            </w:tcBorders>
            <w:shd w:val="clear" w:color="auto" w:fill="auto"/>
            <w:vAlign w:val="center"/>
            <w:hideMark/>
          </w:tcPr>
          <w:p w14:paraId="432C46FF" w14:textId="77777777" w:rsidR="003F6656" w:rsidRPr="000A470B" w:rsidRDefault="00F13865">
            <w:pPr>
              <w:jc w:val="right"/>
              <w:rPr>
                <w:rFonts w:cs="Arial"/>
                <w:color w:val="000000"/>
                <w:lang w:eastAsia="en-GB"/>
              </w:rPr>
            </w:pPr>
            <w:r>
              <w:rPr>
                <w:rFonts w:cs="Arial"/>
                <w:color w:val="000000"/>
                <w:lang w:eastAsia="en-GB"/>
              </w:rPr>
              <w:t>1</w:t>
            </w:r>
          </w:p>
        </w:tc>
        <w:tc>
          <w:tcPr>
            <w:tcW w:w="1351" w:type="dxa"/>
            <w:tcBorders>
              <w:top w:val="single" w:sz="8" w:space="0" w:color="000000"/>
              <w:left w:val="nil"/>
              <w:bottom w:val="single" w:sz="8" w:space="0" w:color="000000"/>
              <w:right w:val="single" w:sz="4" w:space="0" w:color="auto"/>
            </w:tcBorders>
            <w:vAlign w:val="center"/>
          </w:tcPr>
          <w:p w14:paraId="14AC88BE" w14:textId="77777777" w:rsidR="003F6656" w:rsidRDefault="009306D9">
            <w:pPr>
              <w:jc w:val="right"/>
              <w:rPr>
                <w:rFonts w:cs="Arial"/>
                <w:color w:val="000000"/>
                <w:lang w:eastAsia="en-GB"/>
              </w:rPr>
            </w:pPr>
            <w:r>
              <w:rPr>
                <w:rFonts w:cs="Arial"/>
                <w:color w:val="000000"/>
                <w:lang w:eastAsia="en-GB"/>
              </w:rPr>
              <w:t>1</w:t>
            </w:r>
          </w:p>
        </w:tc>
      </w:tr>
      <w:tr w:rsidR="003F6656" w:rsidRPr="000A470B" w14:paraId="39849DC0" w14:textId="77777777"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2D5897AF" w14:textId="77777777" w:rsidR="003F6656" w:rsidRPr="000A470B" w:rsidRDefault="003F6656" w:rsidP="000A470B">
            <w:pPr>
              <w:rPr>
                <w:rFonts w:cs="Arial"/>
                <w:color w:val="000000"/>
                <w:lang w:eastAsia="en-GB"/>
              </w:rPr>
            </w:pPr>
            <w:r w:rsidRPr="000A470B">
              <w:rPr>
                <w:rFonts w:cs="Arial"/>
                <w:color w:val="000000"/>
                <w:lang w:eastAsia="en-GB"/>
              </w:rPr>
              <w:t> </w:t>
            </w:r>
          </w:p>
        </w:tc>
        <w:tc>
          <w:tcPr>
            <w:tcW w:w="1103" w:type="dxa"/>
            <w:tcBorders>
              <w:top w:val="nil"/>
              <w:left w:val="nil"/>
              <w:bottom w:val="single" w:sz="8" w:space="0" w:color="000000"/>
              <w:right w:val="single" w:sz="8" w:space="0" w:color="000000"/>
            </w:tcBorders>
            <w:shd w:val="clear" w:color="auto" w:fill="auto"/>
            <w:vAlign w:val="center"/>
            <w:hideMark/>
          </w:tcPr>
          <w:p w14:paraId="3ABFEFC3" w14:textId="77777777"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14:paraId="705DE7D9" w14:textId="77777777"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14:paraId="5D947221" w14:textId="77777777" w:rsidR="003F6656" w:rsidRPr="000A470B" w:rsidRDefault="003F6656" w:rsidP="003F6656">
            <w:pPr>
              <w:jc w:val="right"/>
              <w:rPr>
                <w:rFonts w:cs="Arial"/>
                <w:color w:val="000000"/>
                <w:lang w:eastAsia="en-GB"/>
              </w:rPr>
            </w:pPr>
            <w:r w:rsidRPr="000A470B">
              <w:rPr>
                <w:rFonts w:cs="Arial"/>
                <w:color w:val="000000"/>
                <w:lang w:eastAsia="en-GB"/>
              </w:rPr>
              <w:t> </w:t>
            </w:r>
          </w:p>
        </w:tc>
        <w:tc>
          <w:tcPr>
            <w:tcW w:w="1351" w:type="dxa"/>
            <w:tcBorders>
              <w:top w:val="single" w:sz="8" w:space="0" w:color="000000"/>
              <w:left w:val="nil"/>
              <w:bottom w:val="single" w:sz="8" w:space="0" w:color="000000"/>
              <w:right w:val="single" w:sz="4" w:space="0" w:color="auto"/>
            </w:tcBorders>
            <w:vAlign w:val="center"/>
          </w:tcPr>
          <w:p w14:paraId="22EB5766" w14:textId="77777777" w:rsidR="003F6656" w:rsidRPr="000A470B" w:rsidRDefault="003F6656" w:rsidP="003F6656">
            <w:pPr>
              <w:jc w:val="right"/>
              <w:rPr>
                <w:rFonts w:cs="Arial"/>
                <w:color w:val="000000"/>
                <w:lang w:eastAsia="en-GB"/>
              </w:rPr>
            </w:pPr>
          </w:p>
        </w:tc>
      </w:tr>
      <w:tr w:rsidR="003F6656" w:rsidRPr="000A470B" w14:paraId="0646A15A" w14:textId="77777777" w:rsidTr="003F665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14:paraId="2FA4A358" w14:textId="77777777" w:rsidR="003F6656" w:rsidRPr="000A470B" w:rsidRDefault="003F6656" w:rsidP="000A470B">
            <w:pPr>
              <w:rPr>
                <w:rFonts w:cs="Arial"/>
                <w:b/>
                <w:bCs/>
                <w:color w:val="000000"/>
                <w:lang w:eastAsia="en-GB"/>
              </w:rPr>
            </w:pPr>
            <w:r w:rsidRPr="000A470B">
              <w:rPr>
                <w:rFonts w:cs="Arial"/>
                <w:b/>
                <w:bCs/>
                <w:color w:val="000000"/>
                <w:lang w:eastAsia="en-GB"/>
              </w:rPr>
              <w:t>Total risks</w:t>
            </w:r>
          </w:p>
        </w:tc>
        <w:tc>
          <w:tcPr>
            <w:tcW w:w="1103" w:type="dxa"/>
            <w:tcBorders>
              <w:top w:val="nil"/>
              <w:left w:val="nil"/>
              <w:bottom w:val="single" w:sz="8" w:space="0" w:color="000000"/>
              <w:right w:val="single" w:sz="8" w:space="0" w:color="000000"/>
            </w:tcBorders>
            <w:shd w:val="clear" w:color="000000" w:fill="D9D9D9"/>
            <w:vAlign w:val="center"/>
            <w:hideMark/>
          </w:tcPr>
          <w:p w14:paraId="5A1B4394" w14:textId="77777777" w:rsidR="003F6656" w:rsidRPr="000A470B" w:rsidRDefault="007756E5" w:rsidP="007756E5">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14:paraId="62FC7216" w14:textId="77777777" w:rsidR="003F6656" w:rsidRPr="000A470B" w:rsidRDefault="00D11B33" w:rsidP="00D11B33">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14:paraId="09B1905C" w14:textId="77777777" w:rsidR="003F6656" w:rsidRPr="000A470B" w:rsidRDefault="003F6656" w:rsidP="0009308A">
            <w:pPr>
              <w:jc w:val="right"/>
              <w:rPr>
                <w:rFonts w:cs="Arial"/>
                <w:b/>
                <w:bCs/>
                <w:color w:val="000000"/>
                <w:lang w:eastAsia="en-GB"/>
              </w:rPr>
            </w:pPr>
            <w:r>
              <w:rPr>
                <w:rFonts w:cs="Arial"/>
                <w:b/>
                <w:bCs/>
                <w:color w:val="000000"/>
                <w:lang w:eastAsia="en-GB"/>
              </w:rPr>
              <w:t>1</w:t>
            </w:r>
            <w:r w:rsidR="0009308A">
              <w:rPr>
                <w:rFonts w:cs="Arial"/>
                <w:b/>
                <w:bCs/>
                <w:color w:val="000000"/>
                <w:lang w:eastAsia="en-GB"/>
              </w:rPr>
              <w:t>2</w:t>
            </w:r>
          </w:p>
        </w:tc>
        <w:tc>
          <w:tcPr>
            <w:tcW w:w="1351" w:type="dxa"/>
            <w:tcBorders>
              <w:top w:val="single" w:sz="8" w:space="0" w:color="000000"/>
              <w:left w:val="nil"/>
              <w:bottom w:val="single" w:sz="8" w:space="0" w:color="000000"/>
              <w:right w:val="single" w:sz="4" w:space="0" w:color="auto"/>
            </w:tcBorders>
            <w:shd w:val="clear" w:color="000000" w:fill="D9D9D9"/>
            <w:vAlign w:val="center"/>
          </w:tcPr>
          <w:p w14:paraId="7BFBCF24" w14:textId="77777777" w:rsidR="003F6656" w:rsidRPr="00632FB7" w:rsidRDefault="009306D9">
            <w:pPr>
              <w:jc w:val="right"/>
              <w:rPr>
                <w:rFonts w:cs="Arial"/>
                <w:b/>
                <w:bCs/>
                <w:color w:val="000000"/>
                <w:lang w:eastAsia="en-GB"/>
              </w:rPr>
            </w:pPr>
            <w:r w:rsidRPr="00516995">
              <w:rPr>
                <w:rFonts w:cs="Arial"/>
                <w:b/>
                <w:lang w:eastAsia="en-GB"/>
              </w:rPr>
              <w:t>12</w:t>
            </w:r>
            <w:r w:rsidR="003F6656" w:rsidRPr="00516995">
              <w:rPr>
                <w:rFonts w:cs="Arial"/>
                <w:b/>
                <w:lang w:eastAsia="en-GB"/>
              </w:rPr>
              <w:t> </w:t>
            </w:r>
          </w:p>
        </w:tc>
      </w:tr>
    </w:tbl>
    <w:p w14:paraId="5EA8A42E" w14:textId="77777777" w:rsidR="007B31EE" w:rsidRDefault="007B31EE" w:rsidP="00966BBE">
      <w:pPr>
        <w:rPr>
          <w:rFonts w:cs="Arial"/>
          <w:b/>
        </w:rPr>
      </w:pPr>
    </w:p>
    <w:p w14:paraId="64DFA831" w14:textId="77777777" w:rsidR="003979BE" w:rsidRDefault="003979BE" w:rsidP="003979BE"/>
    <w:p w14:paraId="06AF522E" w14:textId="77777777" w:rsidR="00966BBE" w:rsidRPr="00A32A7B" w:rsidRDefault="0078409C" w:rsidP="003979BE">
      <w:pPr>
        <w:pStyle w:val="Heading1"/>
      </w:pPr>
      <w:r w:rsidRPr="0078409C">
        <w:t>Service Risk Register</w:t>
      </w:r>
      <w:r w:rsidR="005D6DCA">
        <w:t>s</w:t>
      </w:r>
    </w:p>
    <w:p w14:paraId="0EF05D8B" w14:textId="77777777" w:rsidR="00966BBE" w:rsidRPr="00A32A7B" w:rsidRDefault="00966BBE" w:rsidP="00966BBE">
      <w:pPr>
        <w:rPr>
          <w:rFonts w:cs="Arial"/>
        </w:rPr>
      </w:pPr>
    </w:p>
    <w:p w14:paraId="36416521" w14:textId="4A54081F" w:rsidR="0017358D" w:rsidRDefault="006D7D0D" w:rsidP="006D7D0D">
      <w:pPr>
        <w:numPr>
          <w:ilvl w:val="0"/>
          <w:numId w:val="1"/>
        </w:numPr>
        <w:ind w:left="426" w:hanging="426"/>
        <w:rPr>
          <w:rFonts w:cs="Arial"/>
        </w:rPr>
      </w:pPr>
      <w:r w:rsidRPr="00CB5642">
        <w:rPr>
          <w:rFonts w:cs="Arial"/>
        </w:rPr>
        <w:t>Each year as part of the service planning process, all service risks are reviewed, those no longer relevant are deleted, and any new ones are added.</w:t>
      </w:r>
    </w:p>
    <w:p w14:paraId="05D16F58" w14:textId="77777777" w:rsidR="00A22192" w:rsidRDefault="00A22192" w:rsidP="00A22192">
      <w:pPr>
        <w:ind w:left="1135"/>
        <w:rPr>
          <w:rFonts w:cs="Arial"/>
        </w:rPr>
      </w:pPr>
    </w:p>
    <w:p w14:paraId="4EA939F7" w14:textId="79BFE322" w:rsidR="002676F8" w:rsidRPr="00B53EF8" w:rsidRDefault="002676F8" w:rsidP="002676F8">
      <w:pPr>
        <w:numPr>
          <w:ilvl w:val="0"/>
          <w:numId w:val="1"/>
        </w:numPr>
        <w:ind w:left="426" w:hanging="426"/>
        <w:rPr>
          <w:rFonts w:cs="Arial"/>
        </w:rPr>
      </w:pPr>
      <w:r w:rsidRPr="00B53EF8">
        <w:rPr>
          <w:rFonts w:cs="Arial"/>
        </w:rPr>
        <w:t>The table below shows</w:t>
      </w:r>
      <w:r w:rsidR="00E42DB4" w:rsidRPr="00B53EF8">
        <w:rPr>
          <w:rFonts w:cs="Arial"/>
        </w:rPr>
        <w:t xml:space="preserve"> </w:t>
      </w:r>
      <w:r w:rsidRPr="00B53EF8">
        <w:rPr>
          <w:rFonts w:cs="Arial"/>
        </w:rPr>
        <w:t xml:space="preserve">the number of service risks as at </w:t>
      </w:r>
      <w:r w:rsidR="0090431F">
        <w:rPr>
          <w:rFonts w:cs="Arial"/>
        </w:rPr>
        <w:t>the 3</w:t>
      </w:r>
      <w:r w:rsidR="00F33108">
        <w:rPr>
          <w:rFonts w:cs="Arial"/>
        </w:rPr>
        <w:t>1st</w:t>
      </w:r>
      <w:r w:rsidR="0090431F">
        <w:rPr>
          <w:rFonts w:cs="Arial"/>
        </w:rPr>
        <w:t xml:space="preserve"> </w:t>
      </w:r>
      <w:r w:rsidR="007232A2">
        <w:rPr>
          <w:rFonts w:cs="Arial"/>
        </w:rPr>
        <w:t>May compared</w:t>
      </w:r>
      <w:r w:rsidRPr="00B53EF8">
        <w:rPr>
          <w:rFonts w:cs="Arial"/>
        </w:rPr>
        <w:t xml:space="preserve"> with the last 1</w:t>
      </w:r>
      <w:r w:rsidR="00DA3392">
        <w:rPr>
          <w:rFonts w:cs="Arial"/>
        </w:rPr>
        <w:t>2 months.</w:t>
      </w:r>
    </w:p>
    <w:p w14:paraId="1DDDE73F" w14:textId="14C86EBF" w:rsidR="0075386D" w:rsidRDefault="0075386D" w:rsidP="00DA3392">
      <w:pPr>
        <w:rPr>
          <w:rFonts w:cs="Arial"/>
        </w:rPr>
      </w:pPr>
    </w:p>
    <w:tbl>
      <w:tblPr>
        <w:tblW w:w="6759" w:type="dxa"/>
        <w:tblInd w:w="720" w:type="dxa"/>
        <w:tblLayout w:type="fixed"/>
        <w:tblLook w:val="04A0" w:firstRow="1" w:lastRow="0" w:firstColumn="1" w:lastColumn="0" w:noHBand="0" w:noVBand="1"/>
      </w:tblPr>
      <w:tblGrid>
        <w:gridCol w:w="2180"/>
        <w:gridCol w:w="1084"/>
        <w:gridCol w:w="1084"/>
        <w:gridCol w:w="1084"/>
        <w:gridCol w:w="1327"/>
      </w:tblGrid>
      <w:tr w:rsidR="00246509" w:rsidRPr="005B360C" w14:paraId="51238C2C" w14:textId="77777777" w:rsidTr="00246509">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4FD155B" w14:textId="77777777" w:rsidR="00246509" w:rsidRPr="005B360C" w:rsidRDefault="00246509" w:rsidP="005B360C">
            <w:pPr>
              <w:rPr>
                <w:rFonts w:cs="Arial"/>
                <w:b/>
                <w:bCs/>
                <w:color w:val="000000"/>
                <w:lang w:eastAsia="en-GB"/>
              </w:rPr>
            </w:pPr>
            <w:r w:rsidRPr="005B360C">
              <w:rPr>
                <w:rFonts w:cs="Arial"/>
                <w:b/>
                <w:bCs/>
                <w:color w:val="000000"/>
                <w:lang w:eastAsia="en-GB"/>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292A1C" w14:textId="77777777" w:rsidR="00246509" w:rsidRDefault="00246509" w:rsidP="00CB1A6F">
            <w:pPr>
              <w:jc w:val="right"/>
              <w:rPr>
                <w:rFonts w:cs="Arial"/>
                <w:b/>
                <w:bCs/>
                <w:color w:val="000000"/>
                <w:lang w:eastAsia="en-GB"/>
              </w:rPr>
            </w:pPr>
          </w:p>
          <w:p w14:paraId="32415D26" w14:textId="77777777" w:rsidR="00246509" w:rsidRDefault="00246509" w:rsidP="00CB1A6F">
            <w:pPr>
              <w:jc w:val="right"/>
              <w:rPr>
                <w:rFonts w:cs="Arial"/>
                <w:b/>
                <w:bCs/>
                <w:color w:val="000000"/>
                <w:lang w:eastAsia="en-GB"/>
              </w:rPr>
            </w:pPr>
            <w:r w:rsidRPr="005B360C">
              <w:rPr>
                <w:rFonts w:cs="Arial"/>
                <w:b/>
                <w:bCs/>
                <w:color w:val="000000"/>
                <w:lang w:eastAsia="en-GB"/>
              </w:rPr>
              <w:t>Q</w:t>
            </w:r>
            <w:r w:rsidR="00F555C9">
              <w:rPr>
                <w:rFonts w:cs="Arial"/>
                <w:b/>
                <w:bCs/>
                <w:color w:val="000000"/>
                <w:lang w:eastAsia="en-GB"/>
              </w:rPr>
              <w:t>2</w:t>
            </w:r>
            <w:r w:rsidRPr="005B360C">
              <w:rPr>
                <w:rFonts w:cs="Arial"/>
                <w:b/>
                <w:bCs/>
                <w:color w:val="000000"/>
                <w:lang w:eastAsia="en-GB"/>
              </w:rPr>
              <w:t xml:space="preserve"> </w:t>
            </w:r>
          </w:p>
          <w:p w14:paraId="109F40A4" w14:textId="77777777" w:rsidR="00246509" w:rsidRPr="005B360C" w:rsidRDefault="00246509" w:rsidP="00753A97">
            <w:pPr>
              <w:jc w:val="right"/>
              <w:rPr>
                <w:rFonts w:cs="Arial"/>
                <w:b/>
                <w:bCs/>
                <w:color w:val="000000"/>
                <w:lang w:eastAsia="en-GB"/>
              </w:rPr>
            </w:pPr>
            <w:r w:rsidRPr="005B360C">
              <w:rPr>
                <w:rFonts w:cs="Arial"/>
                <w:b/>
                <w:bCs/>
                <w:color w:val="000000"/>
                <w:lang w:eastAsia="en-GB"/>
              </w:rPr>
              <w:t>201</w:t>
            </w:r>
            <w:r w:rsidR="00F33108">
              <w:rPr>
                <w:rFonts w:cs="Arial"/>
                <w:b/>
                <w:bCs/>
                <w:color w:val="000000"/>
                <w:lang w:eastAsia="en-GB"/>
              </w:rPr>
              <w:t>9</w:t>
            </w:r>
            <w:r w:rsidRPr="005B360C">
              <w:rPr>
                <w:rFonts w:cs="Arial"/>
                <w:b/>
                <w:bCs/>
                <w:color w:val="000000"/>
                <w:lang w:eastAsia="en-GB"/>
              </w:rPr>
              <w:t>/</w:t>
            </w:r>
            <w:r w:rsidR="00F33108">
              <w:rPr>
                <w:rFonts w:cs="Arial"/>
                <w:b/>
                <w:bCs/>
                <w:color w:val="000000"/>
                <w:lang w:eastAsia="en-GB"/>
              </w:rPr>
              <w:t>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7F9225" w14:textId="77777777" w:rsidR="00246509" w:rsidRDefault="00246509" w:rsidP="00B56739">
            <w:pPr>
              <w:jc w:val="right"/>
              <w:rPr>
                <w:rFonts w:cs="Arial"/>
                <w:b/>
                <w:bCs/>
                <w:color w:val="000000"/>
                <w:lang w:eastAsia="en-GB"/>
              </w:rPr>
            </w:pPr>
          </w:p>
          <w:p w14:paraId="6116629E" w14:textId="77777777" w:rsidR="00246509" w:rsidRPr="005B360C" w:rsidRDefault="00246509">
            <w:pPr>
              <w:jc w:val="right"/>
              <w:rPr>
                <w:rFonts w:cs="Arial"/>
                <w:b/>
                <w:bCs/>
                <w:color w:val="000000"/>
                <w:lang w:eastAsia="en-GB"/>
              </w:rPr>
            </w:pPr>
            <w:r w:rsidRPr="005B360C">
              <w:rPr>
                <w:rFonts w:cs="Arial"/>
                <w:b/>
                <w:bCs/>
                <w:color w:val="000000"/>
                <w:lang w:eastAsia="en-GB"/>
              </w:rPr>
              <w:t>Q</w:t>
            </w:r>
            <w:r w:rsidR="00692773">
              <w:rPr>
                <w:rFonts w:cs="Arial"/>
                <w:b/>
                <w:bCs/>
                <w:color w:val="000000"/>
                <w:lang w:eastAsia="en-GB"/>
              </w:rPr>
              <w:t>3</w:t>
            </w:r>
            <w:r w:rsidRPr="005B360C">
              <w:rPr>
                <w:rFonts w:cs="Arial"/>
                <w:b/>
                <w:bCs/>
                <w:color w:val="000000"/>
                <w:lang w:eastAsia="en-GB"/>
              </w:rPr>
              <w:t xml:space="preserve"> 201</w:t>
            </w:r>
            <w:r w:rsidR="002F4319">
              <w:rPr>
                <w:rFonts w:cs="Arial"/>
                <w:b/>
                <w:bCs/>
                <w:color w:val="000000"/>
                <w:lang w:eastAsia="en-GB"/>
              </w:rPr>
              <w:t>9</w:t>
            </w:r>
            <w:r w:rsidRPr="005B360C">
              <w:rPr>
                <w:rFonts w:cs="Arial"/>
                <w:b/>
                <w:bCs/>
                <w:color w:val="000000"/>
                <w:lang w:eastAsia="en-GB"/>
              </w:rPr>
              <w:t>/</w:t>
            </w:r>
            <w:r w:rsidR="002F4319">
              <w:rPr>
                <w:rFonts w:cs="Arial"/>
                <w:b/>
                <w:bCs/>
                <w:color w:val="000000"/>
                <w:lang w:eastAsia="en-GB"/>
              </w:rPr>
              <w:t>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D224AF" w14:textId="77777777" w:rsidR="00246509" w:rsidRDefault="00246509" w:rsidP="00361BB5">
            <w:pPr>
              <w:jc w:val="right"/>
              <w:rPr>
                <w:rFonts w:cs="Arial"/>
                <w:b/>
                <w:bCs/>
                <w:color w:val="000000"/>
                <w:lang w:eastAsia="en-GB"/>
              </w:rPr>
            </w:pPr>
          </w:p>
          <w:p w14:paraId="42D62CE2" w14:textId="77777777" w:rsidR="00246509" w:rsidRPr="005B360C" w:rsidRDefault="00246509">
            <w:pPr>
              <w:jc w:val="right"/>
              <w:rPr>
                <w:rFonts w:cs="Arial"/>
                <w:b/>
                <w:bCs/>
                <w:color w:val="000000"/>
                <w:lang w:eastAsia="en-GB"/>
              </w:rPr>
            </w:pPr>
            <w:r w:rsidRPr="005B360C">
              <w:rPr>
                <w:rFonts w:cs="Arial"/>
                <w:b/>
                <w:bCs/>
                <w:color w:val="000000"/>
                <w:lang w:eastAsia="en-GB"/>
              </w:rPr>
              <w:t>Q</w:t>
            </w:r>
            <w:r w:rsidR="00692773">
              <w:rPr>
                <w:rFonts w:cs="Arial"/>
                <w:b/>
                <w:bCs/>
                <w:color w:val="000000"/>
                <w:lang w:eastAsia="en-GB"/>
              </w:rPr>
              <w:t>4</w:t>
            </w:r>
            <w:r w:rsidRPr="005B360C">
              <w:rPr>
                <w:rFonts w:cs="Arial"/>
                <w:b/>
                <w:bCs/>
                <w:color w:val="000000"/>
                <w:lang w:eastAsia="en-GB"/>
              </w:rPr>
              <w:t xml:space="preserve"> 201</w:t>
            </w:r>
            <w:r w:rsidR="00A64331">
              <w:rPr>
                <w:rFonts w:cs="Arial"/>
                <w:b/>
                <w:bCs/>
                <w:color w:val="000000"/>
                <w:lang w:eastAsia="en-GB"/>
              </w:rPr>
              <w:t>9</w:t>
            </w:r>
            <w:r w:rsidRPr="005B360C">
              <w:rPr>
                <w:rFonts w:cs="Arial"/>
                <w:b/>
                <w:bCs/>
                <w:color w:val="000000"/>
                <w:lang w:eastAsia="en-GB"/>
              </w:rPr>
              <w:t>/</w:t>
            </w:r>
            <w:r w:rsidR="00A64331">
              <w:rPr>
                <w:rFonts w:cs="Arial"/>
                <w:b/>
                <w:bCs/>
                <w:color w:val="000000"/>
                <w:lang w:eastAsia="en-GB"/>
              </w:rPr>
              <w:t>20</w:t>
            </w:r>
          </w:p>
        </w:tc>
        <w:tc>
          <w:tcPr>
            <w:tcW w:w="1327" w:type="dxa"/>
            <w:tcBorders>
              <w:top w:val="single" w:sz="8" w:space="0" w:color="000000"/>
              <w:left w:val="single" w:sz="8" w:space="0" w:color="000000"/>
              <w:bottom w:val="single" w:sz="8" w:space="0" w:color="000000"/>
              <w:right w:val="single" w:sz="8" w:space="0" w:color="000000"/>
            </w:tcBorders>
          </w:tcPr>
          <w:p w14:paraId="2D84B5BE" w14:textId="77777777" w:rsidR="007756E5" w:rsidRDefault="007756E5" w:rsidP="008D6AAC">
            <w:pPr>
              <w:jc w:val="right"/>
              <w:rPr>
                <w:rFonts w:cs="Arial"/>
                <w:b/>
                <w:bCs/>
                <w:color w:val="000000"/>
                <w:lang w:eastAsia="en-GB"/>
              </w:rPr>
            </w:pPr>
          </w:p>
          <w:p w14:paraId="573CF31E" w14:textId="77777777" w:rsidR="00246509" w:rsidRDefault="00AE1C6D" w:rsidP="008D6AAC">
            <w:pPr>
              <w:jc w:val="right"/>
              <w:rPr>
                <w:rFonts w:cs="Arial"/>
                <w:b/>
                <w:bCs/>
                <w:color w:val="000000"/>
                <w:lang w:eastAsia="en-GB"/>
              </w:rPr>
            </w:pPr>
            <w:r>
              <w:rPr>
                <w:rFonts w:cs="Arial"/>
                <w:b/>
                <w:bCs/>
                <w:color w:val="000000"/>
                <w:lang w:eastAsia="en-GB"/>
              </w:rPr>
              <w:t>Q</w:t>
            </w:r>
            <w:r w:rsidR="00692773">
              <w:rPr>
                <w:rFonts w:cs="Arial"/>
                <w:b/>
                <w:bCs/>
                <w:color w:val="000000"/>
                <w:lang w:eastAsia="en-GB"/>
              </w:rPr>
              <w:t>1</w:t>
            </w:r>
          </w:p>
          <w:p w14:paraId="5847AF79" w14:textId="77777777" w:rsidR="00246509" w:rsidRDefault="00246509">
            <w:pPr>
              <w:jc w:val="right"/>
              <w:rPr>
                <w:rFonts w:cs="Arial"/>
                <w:b/>
                <w:bCs/>
                <w:color w:val="000000"/>
                <w:lang w:eastAsia="en-GB"/>
              </w:rPr>
            </w:pPr>
            <w:r w:rsidRPr="005B360C">
              <w:rPr>
                <w:rFonts w:cs="Arial"/>
                <w:b/>
                <w:bCs/>
                <w:color w:val="000000"/>
                <w:lang w:eastAsia="en-GB"/>
              </w:rPr>
              <w:t xml:space="preserve"> 20</w:t>
            </w:r>
            <w:r w:rsidR="00692773">
              <w:rPr>
                <w:rFonts w:cs="Arial"/>
                <w:b/>
                <w:bCs/>
                <w:color w:val="000000"/>
                <w:lang w:eastAsia="en-GB"/>
              </w:rPr>
              <w:t>20</w:t>
            </w:r>
            <w:r w:rsidRPr="005B360C">
              <w:rPr>
                <w:rFonts w:cs="Arial"/>
                <w:b/>
                <w:bCs/>
                <w:color w:val="000000"/>
                <w:lang w:eastAsia="en-GB"/>
              </w:rPr>
              <w:t>/</w:t>
            </w:r>
            <w:r w:rsidR="00AE1C6D">
              <w:rPr>
                <w:rFonts w:cs="Arial"/>
                <w:b/>
                <w:bCs/>
                <w:color w:val="000000"/>
                <w:lang w:eastAsia="en-GB"/>
              </w:rPr>
              <w:t>2</w:t>
            </w:r>
            <w:r w:rsidR="00692773">
              <w:rPr>
                <w:rFonts w:cs="Arial"/>
                <w:b/>
                <w:bCs/>
                <w:color w:val="000000"/>
                <w:lang w:eastAsia="en-GB"/>
              </w:rPr>
              <w:t>1</w:t>
            </w:r>
          </w:p>
        </w:tc>
      </w:tr>
      <w:tr w:rsidR="00246509" w:rsidRPr="005B360C" w14:paraId="68778BC3" w14:textId="77777777"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5BC55E4E" w14:textId="77777777" w:rsidR="00246509" w:rsidRPr="005B360C" w:rsidRDefault="00246509" w:rsidP="005B360C">
            <w:pPr>
              <w:rPr>
                <w:rFonts w:cs="Arial"/>
                <w:color w:val="000000"/>
                <w:lang w:eastAsia="en-GB"/>
              </w:rPr>
            </w:pPr>
            <w:r w:rsidRPr="005B360C">
              <w:rPr>
                <w:rFonts w:cs="Arial"/>
                <w:color w:val="000000"/>
                <w:lang w:eastAsia="en-GB"/>
              </w:rPr>
              <w:t>Red</w:t>
            </w:r>
          </w:p>
        </w:tc>
        <w:tc>
          <w:tcPr>
            <w:tcW w:w="1084" w:type="dxa"/>
            <w:tcBorders>
              <w:top w:val="nil"/>
              <w:left w:val="nil"/>
              <w:bottom w:val="single" w:sz="8" w:space="0" w:color="000000"/>
              <w:right w:val="single" w:sz="8" w:space="0" w:color="000000"/>
            </w:tcBorders>
            <w:shd w:val="clear" w:color="auto" w:fill="auto"/>
            <w:vAlign w:val="center"/>
            <w:hideMark/>
          </w:tcPr>
          <w:p w14:paraId="3DBFCCDF" w14:textId="77777777" w:rsidR="00246509" w:rsidRPr="005B360C" w:rsidRDefault="00692773">
            <w:pPr>
              <w:jc w:val="right"/>
              <w:rPr>
                <w:rFonts w:cs="Arial"/>
                <w:color w:val="000000"/>
                <w:lang w:eastAsia="en-GB"/>
              </w:rPr>
            </w:pPr>
            <w:r>
              <w:rPr>
                <w:rFonts w:cs="Arial"/>
                <w:color w:val="000000"/>
                <w:lang w:eastAsia="en-GB"/>
              </w:rPr>
              <w:t>3</w:t>
            </w:r>
          </w:p>
        </w:tc>
        <w:tc>
          <w:tcPr>
            <w:tcW w:w="1084" w:type="dxa"/>
            <w:tcBorders>
              <w:top w:val="nil"/>
              <w:left w:val="nil"/>
              <w:bottom w:val="single" w:sz="8" w:space="0" w:color="000000"/>
              <w:right w:val="single" w:sz="8" w:space="0" w:color="000000"/>
            </w:tcBorders>
            <w:shd w:val="clear" w:color="auto" w:fill="auto"/>
            <w:vAlign w:val="center"/>
            <w:hideMark/>
          </w:tcPr>
          <w:p w14:paraId="02236E7E" w14:textId="77777777" w:rsidR="00246509" w:rsidRPr="005B360C" w:rsidRDefault="00F33108" w:rsidP="00753A97">
            <w:pPr>
              <w:jc w:val="right"/>
              <w:rPr>
                <w:rFonts w:cs="Arial"/>
                <w:color w:val="000000"/>
                <w:lang w:eastAsia="en-GB"/>
              </w:rPr>
            </w:pPr>
            <w:r>
              <w:rPr>
                <w:rFonts w:cs="Arial"/>
                <w:color w:val="000000"/>
                <w:lang w:eastAsia="en-GB"/>
              </w:rPr>
              <w:t>3</w:t>
            </w:r>
          </w:p>
        </w:tc>
        <w:tc>
          <w:tcPr>
            <w:tcW w:w="1084" w:type="dxa"/>
            <w:tcBorders>
              <w:top w:val="nil"/>
              <w:left w:val="nil"/>
              <w:bottom w:val="single" w:sz="8" w:space="0" w:color="000000"/>
              <w:right w:val="single" w:sz="8" w:space="0" w:color="000000"/>
            </w:tcBorders>
            <w:shd w:val="clear" w:color="auto" w:fill="auto"/>
            <w:vAlign w:val="center"/>
            <w:hideMark/>
          </w:tcPr>
          <w:p w14:paraId="24528555" w14:textId="77777777" w:rsidR="00246509" w:rsidRPr="005B360C" w:rsidRDefault="00692773">
            <w:pPr>
              <w:jc w:val="right"/>
              <w:rPr>
                <w:rFonts w:cs="Arial"/>
                <w:color w:val="000000"/>
                <w:lang w:eastAsia="en-GB"/>
              </w:rPr>
            </w:pPr>
            <w:r>
              <w:rPr>
                <w:rFonts w:cs="Arial"/>
                <w:color w:val="000000"/>
                <w:lang w:eastAsia="en-GB"/>
              </w:rPr>
              <w:t>4</w:t>
            </w:r>
          </w:p>
        </w:tc>
        <w:tc>
          <w:tcPr>
            <w:tcW w:w="1327" w:type="dxa"/>
            <w:tcBorders>
              <w:top w:val="single" w:sz="8" w:space="0" w:color="000000"/>
              <w:left w:val="nil"/>
              <w:bottom w:val="single" w:sz="8" w:space="0" w:color="000000"/>
              <w:right w:val="single" w:sz="8" w:space="0" w:color="000000"/>
            </w:tcBorders>
            <w:vAlign w:val="center"/>
          </w:tcPr>
          <w:p w14:paraId="0CD1D225" w14:textId="77777777" w:rsidR="00246509" w:rsidRDefault="009306D9">
            <w:pPr>
              <w:jc w:val="right"/>
              <w:rPr>
                <w:rFonts w:cs="Arial"/>
                <w:color w:val="000000"/>
                <w:lang w:eastAsia="en-GB"/>
              </w:rPr>
            </w:pPr>
            <w:r>
              <w:rPr>
                <w:rFonts w:cs="Arial"/>
                <w:color w:val="000000"/>
                <w:lang w:eastAsia="en-GB"/>
              </w:rPr>
              <w:t>6</w:t>
            </w:r>
          </w:p>
        </w:tc>
      </w:tr>
      <w:tr w:rsidR="00246509" w:rsidRPr="005B360C" w14:paraId="29E9DD11" w14:textId="77777777"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4D39AC21" w14:textId="77777777" w:rsidR="00246509" w:rsidRPr="005B360C" w:rsidRDefault="00246509" w:rsidP="005B360C">
            <w:pPr>
              <w:rPr>
                <w:rFonts w:cs="Arial"/>
                <w:color w:val="000000"/>
                <w:lang w:eastAsia="en-GB"/>
              </w:rPr>
            </w:pPr>
            <w:r w:rsidRPr="005B360C">
              <w:rPr>
                <w:rFonts w:cs="Arial"/>
                <w:color w:val="000000"/>
                <w:lang w:eastAsia="en-GB"/>
              </w:rPr>
              <w:t>Amber</w:t>
            </w:r>
          </w:p>
        </w:tc>
        <w:tc>
          <w:tcPr>
            <w:tcW w:w="1084" w:type="dxa"/>
            <w:tcBorders>
              <w:top w:val="nil"/>
              <w:left w:val="nil"/>
              <w:bottom w:val="single" w:sz="8" w:space="0" w:color="000000"/>
              <w:right w:val="single" w:sz="8" w:space="0" w:color="000000"/>
            </w:tcBorders>
            <w:shd w:val="clear" w:color="auto" w:fill="auto"/>
            <w:vAlign w:val="center"/>
            <w:hideMark/>
          </w:tcPr>
          <w:p w14:paraId="388D443B" w14:textId="77777777" w:rsidR="00246509" w:rsidRPr="005B360C" w:rsidRDefault="00F916C3">
            <w:pPr>
              <w:jc w:val="right"/>
              <w:rPr>
                <w:rFonts w:cs="Arial"/>
                <w:color w:val="000000"/>
                <w:lang w:eastAsia="en-GB"/>
              </w:rPr>
            </w:pPr>
            <w:r>
              <w:rPr>
                <w:rFonts w:cs="Arial"/>
                <w:color w:val="000000"/>
                <w:lang w:eastAsia="en-GB"/>
              </w:rPr>
              <w:t>3</w:t>
            </w:r>
            <w:r w:rsidR="00692773">
              <w:rPr>
                <w:rFonts w:cs="Arial"/>
                <w:color w:val="000000"/>
                <w:lang w:eastAsia="en-GB"/>
              </w:rPr>
              <w:t>4</w:t>
            </w:r>
          </w:p>
        </w:tc>
        <w:tc>
          <w:tcPr>
            <w:tcW w:w="1084" w:type="dxa"/>
            <w:tcBorders>
              <w:top w:val="nil"/>
              <w:left w:val="nil"/>
              <w:bottom w:val="single" w:sz="8" w:space="0" w:color="000000"/>
              <w:right w:val="single" w:sz="8" w:space="0" w:color="000000"/>
            </w:tcBorders>
            <w:shd w:val="clear" w:color="auto" w:fill="auto"/>
            <w:vAlign w:val="center"/>
            <w:hideMark/>
          </w:tcPr>
          <w:p w14:paraId="1E7F67E6" w14:textId="77777777" w:rsidR="00246509" w:rsidRPr="005B360C" w:rsidRDefault="00A64331">
            <w:pPr>
              <w:jc w:val="right"/>
              <w:rPr>
                <w:rFonts w:cs="Arial"/>
                <w:color w:val="000000"/>
                <w:lang w:eastAsia="en-GB"/>
              </w:rPr>
            </w:pPr>
            <w:r>
              <w:rPr>
                <w:rFonts w:cs="Arial"/>
                <w:color w:val="000000"/>
                <w:lang w:eastAsia="en-GB"/>
              </w:rPr>
              <w:t>3</w:t>
            </w:r>
            <w:r w:rsidR="00692773">
              <w:rPr>
                <w:rFonts w:cs="Arial"/>
                <w:color w:val="000000"/>
                <w:lang w:eastAsia="en-GB"/>
              </w:rPr>
              <w:t>5</w:t>
            </w:r>
          </w:p>
        </w:tc>
        <w:tc>
          <w:tcPr>
            <w:tcW w:w="1084" w:type="dxa"/>
            <w:tcBorders>
              <w:top w:val="nil"/>
              <w:left w:val="nil"/>
              <w:bottom w:val="single" w:sz="8" w:space="0" w:color="000000"/>
              <w:right w:val="single" w:sz="8" w:space="0" w:color="000000"/>
            </w:tcBorders>
            <w:shd w:val="clear" w:color="auto" w:fill="auto"/>
            <w:vAlign w:val="center"/>
            <w:hideMark/>
          </w:tcPr>
          <w:p w14:paraId="18C19B94" w14:textId="77777777" w:rsidR="00246509" w:rsidRPr="005B360C" w:rsidRDefault="00AE1C6D">
            <w:pPr>
              <w:jc w:val="right"/>
              <w:rPr>
                <w:rFonts w:cs="Arial"/>
                <w:color w:val="000000"/>
                <w:lang w:eastAsia="en-GB"/>
              </w:rPr>
            </w:pPr>
            <w:r>
              <w:rPr>
                <w:rFonts w:cs="Arial"/>
                <w:color w:val="000000"/>
                <w:lang w:eastAsia="en-GB"/>
              </w:rPr>
              <w:t>3</w:t>
            </w:r>
            <w:r w:rsidR="00692773">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14:paraId="567A3902" w14:textId="77777777" w:rsidR="00246509" w:rsidRDefault="002F4B34" w:rsidP="00E348F1">
            <w:pPr>
              <w:jc w:val="right"/>
              <w:rPr>
                <w:rFonts w:cs="Arial"/>
                <w:color w:val="000000"/>
                <w:lang w:eastAsia="en-GB"/>
              </w:rPr>
            </w:pPr>
            <w:r>
              <w:rPr>
                <w:rFonts w:cs="Arial"/>
                <w:color w:val="000000"/>
                <w:lang w:eastAsia="en-GB"/>
              </w:rPr>
              <w:t>3</w:t>
            </w:r>
            <w:r w:rsidR="00E348F1">
              <w:rPr>
                <w:rFonts w:cs="Arial"/>
                <w:color w:val="000000"/>
                <w:lang w:eastAsia="en-GB"/>
              </w:rPr>
              <w:t>4</w:t>
            </w:r>
          </w:p>
        </w:tc>
      </w:tr>
      <w:tr w:rsidR="00246509" w:rsidRPr="005B360C" w14:paraId="02034C80" w14:textId="77777777"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0BD298C4" w14:textId="77777777" w:rsidR="00246509" w:rsidRPr="005B360C" w:rsidRDefault="00246509" w:rsidP="005B360C">
            <w:pPr>
              <w:rPr>
                <w:rFonts w:cs="Arial"/>
                <w:color w:val="000000"/>
                <w:lang w:eastAsia="en-GB"/>
              </w:rPr>
            </w:pPr>
            <w:r w:rsidRPr="005B360C">
              <w:rPr>
                <w:rFonts w:cs="Arial"/>
                <w:color w:val="000000"/>
                <w:lang w:eastAsia="en-GB"/>
              </w:rPr>
              <w:t>Green</w:t>
            </w:r>
          </w:p>
        </w:tc>
        <w:tc>
          <w:tcPr>
            <w:tcW w:w="1084" w:type="dxa"/>
            <w:tcBorders>
              <w:top w:val="nil"/>
              <w:left w:val="nil"/>
              <w:bottom w:val="single" w:sz="8" w:space="0" w:color="000000"/>
              <w:right w:val="single" w:sz="8" w:space="0" w:color="000000"/>
            </w:tcBorders>
            <w:shd w:val="clear" w:color="auto" w:fill="auto"/>
            <w:vAlign w:val="center"/>
            <w:hideMark/>
          </w:tcPr>
          <w:p w14:paraId="293B4489" w14:textId="77777777" w:rsidR="00246509" w:rsidRPr="005B360C" w:rsidRDefault="00AE1C6D">
            <w:pPr>
              <w:jc w:val="right"/>
              <w:rPr>
                <w:rFonts w:cs="Arial"/>
                <w:color w:val="000000"/>
                <w:lang w:eastAsia="en-GB"/>
              </w:rPr>
            </w:pPr>
            <w:r>
              <w:rPr>
                <w:rFonts w:cs="Arial"/>
                <w:color w:val="000000"/>
                <w:lang w:eastAsia="en-GB"/>
              </w:rPr>
              <w:t>1</w:t>
            </w:r>
            <w:r w:rsidR="00692773">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14:paraId="61C1117C" w14:textId="77777777" w:rsidR="00246509" w:rsidRPr="005B360C" w:rsidRDefault="00692773">
            <w:pPr>
              <w:jc w:val="right"/>
              <w:rPr>
                <w:rFonts w:cs="Arial"/>
                <w:color w:val="000000"/>
                <w:lang w:eastAsia="en-GB"/>
              </w:rPr>
            </w:pPr>
            <w:r>
              <w:rPr>
                <w:rFonts w:cs="Arial"/>
                <w:color w:val="000000"/>
                <w:lang w:eastAsia="en-GB"/>
              </w:rPr>
              <w:t>9</w:t>
            </w:r>
          </w:p>
        </w:tc>
        <w:tc>
          <w:tcPr>
            <w:tcW w:w="1084" w:type="dxa"/>
            <w:tcBorders>
              <w:top w:val="nil"/>
              <w:left w:val="nil"/>
              <w:bottom w:val="single" w:sz="8" w:space="0" w:color="000000"/>
              <w:right w:val="single" w:sz="8" w:space="0" w:color="000000"/>
            </w:tcBorders>
            <w:shd w:val="clear" w:color="auto" w:fill="auto"/>
            <w:vAlign w:val="center"/>
            <w:hideMark/>
          </w:tcPr>
          <w:p w14:paraId="46C8BA75" w14:textId="77777777" w:rsidR="00246509" w:rsidRPr="005B360C" w:rsidRDefault="00692773">
            <w:pPr>
              <w:jc w:val="right"/>
              <w:rPr>
                <w:rFonts w:cs="Arial"/>
                <w:color w:val="000000"/>
                <w:lang w:eastAsia="en-GB"/>
              </w:rPr>
            </w:pPr>
            <w:r>
              <w:rPr>
                <w:rFonts w:cs="Arial"/>
                <w:color w:val="000000"/>
                <w:lang w:eastAsia="en-GB"/>
              </w:rPr>
              <w:t>13</w:t>
            </w:r>
          </w:p>
        </w:tc>
        <w:tc>
          <w:tcPr>
            <w:tcW w:w="1327" w:type="dxa"/>
            <w:tcBorders>
              <w:top w:val="single" w:sz="8" w:space="0" w:color="000000"/>
              <w:left w:val="nil"/>
              <w:bottom w:val="single" w:sz="8" w:space="0" w:color="000000"/>
              <w:right w:val="single" w:sz="8" w:space="0" w:color="000000"/>
            </w:tcBorders>
            <w:vAlign w:val="center"/>
          </w:tcPr>
          <w:p w14:paraId="1DA5F060" w14:textId="77777777" w:rsidR="00246509" w:rsidRDefault="00E348F1" w:rsidP="00E348F1">
            <w:pPr>
              <w:jc w:val="right"/>
              <w:rPr>
                <w:rFonts w:cs="Arial"/>
                <w:color w:val="000000"/>
                <w:lang w:eastAsia="en-GB"/>
              </w:rPr>
            </w:pPr>
            <w:r>
              <w:rPr>
                <w:rFonts w:cs="Arial"/>
                <w:color w:val="000000"/>
                <w:lang w:eastAsia="en-GB"/>
              </w:rPr>
              <w:t>11</w:t>
            </w:r>
          </w:p>
        </w:tc>
      </w:tr>
      <w:tr w:rsidR="00246509" w:rsidRPr="005B360C" w14:paraId="2D39C1F3" w14:textId="77777777" w:rsidTr="003F6656">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14:paraId="539A71C3" w14:textId="77777777" w:rsidR="00246509" w:rsidRPr="005B360C" w:rsidRDefault="00246509" w:rsidP="005B360C">
            <w:pPr>
              <w:rPr>
                <w:rFonts w:cs="Arial"/>
                <w:b/>
                <w:bCs/>
                <w:color w:val="000000"/>
                <w:lang w:eastAsia="en-GB"/>
              </w:rPr>
            </w:pPr>
            <w:r w:rsidRPr="005B360C">
              <w:rPr>
                <w:rFonts w:cs="Arial"/>
                <w:b/>
                <w:bCs/>
                <w:color w:val="000000"/>
                <w:lang w:eastAsia="en-GB"/>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670B2693" w14:textId="77777777" w:rsidR="00246509" w:rsidRPr="005B360C" w:rsidRDefault="00692773">
            <w:pPr>
              <w:jc w:val="right"/>
              <w:rPr>
                <w:rFonts w:cs="Arial"/>
                <w:b/>
                <w:bCs/>
                <w:color w:val="000000"/>
                <w:lang w:eastAsia="en-GB"/>
              </w:rPr>
            </w:pPr>
            <w:r>
              <w:rPr>
                <w:rFonts w:cs="Arial"/>
                <w:b/>
                <w:bCs/>
                <w:color w:val="000000"/>
                <w:lang w:eastAsia="en-GB"/>
              </w:rPr>
              <w:t>47</w:t>
            </w:r>
          </w:p>
        </w:tc>
        <w:tc>
          <w:tcPr>
            <w:tcW w:w="1084" w:type="dxa"/>
            <w:tcBorders>
              <w:top w:val="nil"/>
              <w:left w:val="nil"/>
              <w:bottom w:val="single" w:sz="8" w:space="0" w:color="000000"/>
              <w:right w:val="single" w:sz="8" w:space="0" w:color="000000"/>
            </w:tcBorders>
            <w:shd w:val="clear" w:color="000000" w:fill="D9D9D9"/>
            <w:vAlign w:val="center"/>
            <w:hideMark/>
          </w:tcPr>
          <w:p w14:paraId="31D3B2FD" w14:textId="77777777" w:rsidR="00246509" w:rsidRPr="005B360C" w:rsidRDefault="00F33108" w:rsidP="00753A97">
            <w:pPr>
              <w:jc w:val="right"/>
              <w:rPr>
                <w:rFonts w:cs="Arial"/>
                <w:b/>
                <w:bCs/>
                <w:color w:val="000000"/>
                <w:lang w:eastAsia="en-GB"/>
              </w:rPr>
            </w:pPr>
            <w:r>
              <w:rPr>
                <w:rFonts w:cs="Arial"/>
                <w:b/>
                <w:bCs/>
                <w:color w:val="000000"/>
                <w:lang w:eastAsia="en-GB"/>
              </w:rPr>
              <w:t>47</w:t>
            </w:r>
          </w:p>
        </w:tc>
        <w:tc>
          <w:tcPr>
            <w:tcW w:w="1084" w:type="dxa"/>
            <w:tcBorders>
              <w:top w:val="nil"/>
              <w:left w:val="nil"/>
              <w:bottom w:val="single" w:sz="8" w:space="0" w:color="000000"/>
              <w:right w:val="single" w:sz="8" w:space="0" w:color="000000"/>
            </w:tcBorders>
            <w:shd w:val="clear" w:color="000000" w:fill="D9D9D9"/>
            <w:vAlign w:val="center"/>
            <w:hideMark/>
          </w:tcPr>
          <w:p w14:paraId="218668BB" w14:textId="77777777" w:rsidR="00246509" w:rsidRPr="005B360C" w:rsidRDefault="002F4319">
            <w:pPr>
              <w:jc w:val="right"/>
              <w:rPr>
                <w:rFonts w:cs="Arial"/>
                <w:b/>
                <w:bCs/>
                <w:color w:val="000000"/>
                <w:lang w:eastAsia="en-GB"/>
              </w:rPr>
            </w:pPr>
            <w:r>
              <w:rPr>
                <w:rFonts w:cs="Arial"/>
                <w:b/>
                <w:bCs/>
                <w:color w:val="000000"/>
                <w:lang w:eastAsia="en-GB"/>
              </w:rPr>
              <w:t>47</w:t>
            </w:r>
          </w:p>
        </w:tc>
        <w:tc>
          <w:tcPr>
            <w:tcW w:w="1327" w:type="dxa"/>
            <w:tcBorders>
              <w:top w:val="single" w:sz="8" w:space="0" w:color="000000"/>
              <w:left w:val="nil"/>
              <w:bottom w:val="single" w:sz="8" w:space="0" w:color="000000"/>
              <w:right w:val="single" w:sz="8" w:space="0" w:color="000000"/>
            </w:tcBorders>
            <w:shd w:val="clear" w:color="000000" w:fill="D9D9D9"/>
            <w:vAlign w:val="center"/>
          </w:tcPr>
          <w:p w14:paraId="3C6C9916" w14:textId="77777777" w:rsidR="00246509" w:rsidRDefault="00E348F1" w:rsidP="00E348F1">
            <w:pPr>
              <w:jc w:val="right"/>
              <w:rPr>
                <w:rFonts w:cs="Arial"/>
                <w:b/>
                <w:color w:val="000000"/>
                <w:lang w:eastAsia="en-GB"/>
              </w:rPr>
            </w:pPr>
            <w:r>
              <w:rPr>
                <w:rFonts w:cs="Arial"/>
                <w:b/>
                <w:color w:val="000000"/>
                <w:lang w:eastAsia="en-GB"/>
              </w:rPr>
              <w:t>51</w:t>
            </w:r>
            <w:r w:rsidR="002F4B34">
              <w:rPr>
                <w:rFonts w:cs="Arial"/>
                <w:b/>
                <w:color w:val="000000"/>
                <w:lang w:eastAsia="en-GB"/>
              </w:rPr>
              <w:t xml:space="preserve"> </w:t>
            </w:r>
          </w:p>
        </w:tc>
      </w:tr>
      <w:tr w:rsidR="00246509" w:rsidRPr="005B360C" w14:paraId="65E60FC2" w14:textId="77777777"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1BD262C4" w14:textId="77777777" w:rsidR="00246509" w:rsidRPr="005B360C" w:rsidRDefault="00246509" w:rsidP="005B360C">
            <w:pPr>
              <w:rPr>
                <w:rFonts w:cs="Arial"/>
                <w:color w:val="000000"/>
                <w:lang w:eastAsia="en-GB"/>
              </w:rPr>
            </w:pPr>
            <w:r w:rsidRPr="005B360C">
              <w:rPr>
                <w:rFonts w:cs="Arial"/>
                <w:color w:val="000000"/>
                <w:lang w:eastAsia="en-GB"/>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14:paraId="7123CAB9" w14:textId="77777777" w:rsidR="00246509" w:rsidRPr="005B360C" w:rsidRDefault="00692773">
            <w:pPr>
              <w:jc w:val="right"/>
              <w:rPr>
                <w:rFonts w:cs="Arial"/>
                <w:color w:val="000000"/>
                <w:lang w:eastAsia="en-GB"/>
              </w:rPr>
            </w:pPr>
            <w:r>
              <w:rPr>
                <w:rFonts w:cs="Arial"/>
                <w:color w:val="000000"/>
                <w:lang w:eastAsia="en-GB"/>
              </w:rPr>
              <w:t>0</w:t>
            </w:r>
            <w:r w:rsidR="00246509" w:rsidRPr="005B360C">
              <w:rPr>
                <w:rFonts w:cs="Arial"/>
                <w:color w:val="000000"/>
                <w:lang w:eastAsia="en-GB"/>
              </w:rPr>
              <w:t> </w:t>
            </w:r>
          </w:p>
        </w:tc>
        <w:tc>
          <w:tcPr>
            <w:tcW w:w="1084" w:type="dxa"/>
            <w:tcBorders>
              <w:top w:val="nil"/>
              <w:left w:val="nil"/>
              <w:bottom w:val="single" w:sz="8" w:space="0" w:color="000000"/>
              <w:right w:val="single" w:sz="8" w:space="0" w:color="000000"/>
            </w:tcBorders>
            <w:shd w:val="clear" w:color="auto" w:fill="auto"/>
            <w:vAlign w:val="center"/>
            <w:hideMark/>
          </w:tcPr>
          <w:p w14:paraId="05250D07" w14:textId="77777777" w:rsidR="00246509" w:rsidRPr="005B360C" w:rsidRDefault="00F33108" w:rsidP="00753A97">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14:paraId="797175B8" w14:textId="77777777" w:rsidR="00246509" w:rsidRPr="005B360C" w:rsidRDefault="002F4319">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14:paraId="10BE0C2F" w14:textId="77777777" w:rsidR="00246509" w:rsidRDefault="00E348F1" w:rsidP="00E348F1">
            <w:pPr>
              <w:jc w:val="right"/>
              <w:rPr>
                <w:rFonts w:cs="Arial"/>
                <w:bCs/>
                <w:color w:val="000000"/>
                <w:lang w:eastAsia="en-GB"/>
              </w:rPr>
            </w:pPr>
            <w:r>
              <w:rPr>
                <w:rFonts w:cs="Arial"/>
                <w:bCs/>
                <w:color w:val="000000"/>
                <w:lang w:eastAsia="en-GB"/>
              </w:rPr>
              <w:t>4</w:t>
            </w:r>
          </w:p>
        </w:tc>
      </w:tr>
      <w:tr w:rsidR="00246509" w:rsidRPr="005B360C" w14:paraId="007319ED" w14:textId="77777777"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14:paraId="45F77784" w14:textId="77777777" w:rsidR="00246509" w:rsidRPr="005B360C" w:rsidRDefault="00246509" w:rsidP="005B360C">
            <w:pPr>
              <w:rPr>
                <w:rFonts w:cs="Arial"/>
                <w:color w:val="000000"/>
                <w:lang w:eastAsia="en-GB"/>
              </w:rPr>
            </w:pPr>
            <w:r w:rsidRPr="005B360C">
              <w:rPr>
                <w:rFonts w:cs="Arial"/>
                <w:color w:val="000000"/>
                <w:lang w:eastAsia="en-GB"/>
              </w:rPr>
              <w:t>Closed</w:t>
            </w:r>
          </w:p>
        </w:tc>
        <w:tc>
          <w:tcPr>
            <w:tcW w:w="1084" w:type="dxa"/>
            <w:tcBorders>
              <w:top w:val="nil"/>
              <w:left w:val="nil"/>
              <w:bottom w:val="single" w:sz="8" w:space="0" w:color="000000"/>
              <w:right w:val="single" w:sz="8" w:space="0" w:color="000000"/>
            </w:tcBorders>
            <w:shd w:val="clear" w:color="auto" w:fill="auto"/>
            <w:vAlign w:val="center"/>
            <w:hideMark/>
          </w:tcPr>
          <w:p w14:paraId="41B0EE53" w14:textId="77777777" w:rsidR="00246509" w:rsidRPr="005B360C" w:rsidRDefault="00692773">
            <w:pPr>
              <w:jc w:val="right"/>
              <w:rPr>
                <w:rFonts w:cs="Arial"/>
                <w:color w:val="000000"/>
                <w:lang w:eastAsia="en-GB"/>
              </w:rPr>
            </w:pPr>
            <w:r>
              <w:rPr>
                <w:rFonts w:cs="Arial"/>
                <w:color w:val="000000"/>
                <w:lang w:eastAsia="en-GB"/>
              </w:rPr>
              <w:t>4</w:t>
            </w:r>
          </w:p>
        </w:tc>
        <w:tc>
          <w:tcPr>
            <w:tcW w:w="1084" w:type="dxa"/>
            <w:tcBorders>
              <w:top w:val="nil"/>
              <w:left w:val="nil"/>
              <w:bottom w:val="single" w:sz="8" w:space="0" w:color="000000"/>
              <w:right w:val="single" w:sz="8" w:space="0" w:color="000000"/>
            </w:tcBorders>
            <w:shd w:val="clear" w:color="auto" w:fill="auto"/>
            <w:vAlign w:val="center"/>
            <w:hideMark/>
          </w:tcPr>
          <w:p w14:paraId="3BB3CB28" w14:textId="77777777" w:rsidR="00246509" w:rsidRPr="005B360C" w:rsidRDefault="00692773">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14:paraId="7B8591AC" w14:textId="77777777" w:rsidR="00246509" w:rsidRPr="005B360C" w:rsidRDefault="00F33108" w:rsidP="00753A97">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14:paraId="4E327303" w14:textId="77777777" w:rsidR="00246509" w:rsidRDefault="002F4B34">
            <w:pPr>
              <w:jc w:val="right"/>
              <w:rPr>
                <w:rFonts w:cs="Arial"/>
                <w:color w:val="000000"/>
                <w:lang w:eastAsia="en-GB"/>
              </w:rPr>
            </w:pPr>
            <w:r>
              <w:rPr>
                <w:rFonts w:cs="Arial"/>
                <w:color w:val="000000"/>
                <w:lang w:eastAsia="en-GB"/>
              </w:rPr>
              <w:t>0</w:t>
            </w:r>
          </w:p>
        </w:tc>
      </w:tr>
    </w:tbl>
    <w:p w14:paraId="5AB658C9" w14:textId="77777777" w:rsidR="004C0AA4" w:rsidRDefault="004C0AA4" w:rsidP="003722CF">
      <w:pPr>
        <w:rPr>
          <w:rFonts w:cs="Arial"/>
        </w:rPr>
      </w:pPr>
    </w:p>
    <w:p w14:paraId="2078FFFF" w14:textId="4772B73B" w:rsidR="00F2428F" w:rsidRDefault="00A02990" w:rsidP="007B753F">
      <w:pPr>
        <w:pStyle w:val="ListParagraph"/>
        <w:numPr>
          <w:ilvl w:val="0"/>
          <w:numId w:val="1"/>
        </w:numPr>
        <w:ind w:left="426" w:hanging="426"/>
        <w:rPr>
          <w:rFonts w:cs="Arial"/>
        </w:rPr>
      </w:pPr>
      <w:r w:rsidRPr="007B753F">
        <w:rPr>
          <w:rFonts w:cs="Arial"/>
        </w:rPr>
        <w:t>The</w:t>
      </w:r>
      <w:r w:rsidR="00F2428F">
        <w:rPr>
          <w:rFonts w:cs="Arial"/>
        </w:rPr>
        <w:t xml:space="preserve"> number of Red risks has </w:t>
      </w:r>
      <w:r w:rsidR="00960DA0">
        <w:rPr>
          <w:rFonts w:cs="Arial"/>
        </w:rPr>
        <w:t xml:space="preserve">increased to </w:t>
      </w:r>
      <w:r w:rsidR="009306D9">
        <w:rPr>
          <w:rFonts w:cs="Arial"/>
        </w:rPr>
        <w:t>six</w:t>
      </w:r>
      <w:r w:rsidR="00C15483">
        <w:rPr>
          <w:rFonts w:cs="Arial"/>
        </w:rPr>
        <w:t xml:space="preserve"> which is</w:t>
      </w:r>
      <w:r w:rsidR="009A17A3">
        <w:rPr>
          <w:rFonts w:cs="Arial"/>
        </w:rPr>
        <w:t xml:space="preserve"> mostly</w:t>
      </w:r>
      <w:r w:rsidR="00C15483">
        <w:rPr>
          <w:rFonts w:cs="Arial"/>
        </w:rPr>
        <w:t xml:space="preserve"> due to the challenges surrounding the Covid-19 pandemic. Th</w:t>
      </w:r>
      <w:r w:rsidR="009A17A3">
        <w:rPr>
          <w:rFonts w:cs="Arial"/>
        </w:rPr>
        <w:t xml:space="preserve">ere </w:t>
      </w:r>
      <w:r w:rsidR="00C15483">
        <w:rPr>
          <w:rFonts w:cs="Arial"/>
        </w:rPr>
        <w:t xml:space="preserve">is also one new </w:t>
      </w:r>
      <w:r w:rsidR="003E7143">
        <w:rPr>
          <w:rFonts w:cs="Arial"/>
        </w:rPr>
        <w:t xml:space="preserve">Financial Services </w:t>
      </w:r>
      <w:r w:rsidR="00C15483">
        <w:rPr>
          <w:rFonts w:cs="Arial"/>
        </w:rPr>
        <w:t xml:space="preserve">risk </w:t>
      </w:r>
      <w:r w:rsidR="009306D9">
        <w:rPr>
          <w:rFonts w:cs="Arial"/>
        </w:rPr>
        <w:t xml:space="preserve">which has been </w:t>
      </w:r>
      <w:r w:rsidR="00C15483">
        <w:rPr>
          <w:rFonts w:cs="Arial"/>
        </w:rPr>
        <w:t xml:space="preserve">added this </w:t>
      </w:r>
      <w:r w:rsidR="009306D9">
        <w:rPr>
          <w:rFonts w:cs="Arial"/>
        </w:rPr>
        <w:t>Q</w:t>
      </w:r>
      <w:r w:rsidR="00C15483">
        <w:rPr>
          <w:rFonts w:cs="Arial"/>
        </w:rPr>
        <w:t xml:space="preserve">uarter. </w:t>
      </w:r>
    </w:p>
    <w:p w14:paraId="5D01AAEF" w14:textId="77777777" w:rsidR="00F2428F" w:rsidRPr="00F2428F" w:rsidRDefault="00F2428F" w:rsidP="00F2428F">
      <w:pPr>
        <w:ind w:left="1135"/>
        <w:rPr>
          <w:rFonts w:cs="Arial"/>
        </w:rPr>
      </w:pPr>
    </w:p>
    <w:p w14:paraId="24076FBD" w14:textId="367D9D52" w:rsidR="00B53EF8" w:rsidRDefault="00F4522A" w:rsidP="007B753F">
      <w:pPr>
        <w:pStyle w:val="ListParagraph"/>
        <w:numPr>
          <w:ilvl w:val="0"/>
          <w:numId w:val="1"/>
        </w:numPr>
        <w:ind w:left="426" w:hanging="426"/>
        <w:rPr>
          <w:rFonts w:cs="Arial"/>
        </w:rPr>
      </w:pPr>
      <w:r>
        <w:rPr>
          <w:rFonts w:cs="Arial"/>
        </w:rPr>
        <w:t xml:space="preserve">Details of the Red </w:t>
      </w:r>
      <w:r w:rsidR="00307477">
        <w:rPr>
          <w:rFonts w:cs="Arial"/>
        </w:rPr>
        <w:t>r</w:t>
      </w:r>
      <w:r w:rsidR="00DA3392">
        <w:rPr>
          <w:rFonts w:cs="Arial"/>
        </w:rPr>
        <w:t>isks are as follows:</w:t>
      </w:r>
    </w:p>
    <w:p w14:paraId="4C566220" w14:textId="77777777" w:rsidR="00DF3A9F" w:rsidRPr="00DF3A9F" w:rsidRDefault="00DF3A9F" w:rsidP="00DF3A9F">
      <w:pPr>
        <w:pStyle w:val="ListParagraph"/>
        <w:rPr>
          <w:rFonts w:cs="Arial"/>
        </w:rPr>
      </w:pPr>
    </w:p>
    <w:p w14:paraId="28FF55DF" w14:textId="77777777" w:rsidR="00DF3A9F" w:rsidRDefault="00CA6FEE" w:rsidP="008E0C9D">
      <w:pPr>
        <w:pStyle w:val="ListParagraph"/>
        <w:numPr>
          <w:ilvl w:val="0"/>
          <w:numId w:val="43"/>
        </w:numPr>
        <w:rPr>
          <w:rFonts w:cs="Arial"/>
        </w:rPr>
      </w:pPr>
      <w:r>
        <w:rPr>
          <w:rFonts w:cs="Arial"/>
          <w:b/>
        </w:rPr>
        <w:t xml:space="preserve">Community Services </w:t>
      </w:r>
      <w:r w:rsidR="00307477">
        <w:rPr>
          <w:rFonts w:cs="Arial"/>
          <w:b/>
        </w:rPr>
        <w:t xml:space="preserve">- </w:t>
      </w:r>
      <w:r w:rsidR="00307477" w:rsidRPr="008E0C9D">
        <w:rPr>
          <w:rFonts w:cs="Arial"/>
        </w:rPr>
        <w:t>this</w:t>
      </w:r>
      <w:r w:rsidR="00DF3A9F" w:rsidRPr="008E0C9D">
        <w:rPr>
          <w:rFonts w:cs="Arial"/>
        </w:rPr>
        <w:t xml:space="preserve"> relates to </w:t>
      </w:r>
      <w:r>
        <w:rPr>
          <w:rFonts w:cs="Arial"/>
        </w:rPr>
        <w:t>community cohesion erodes. The unprecedented Covid-19 scenario is creating significant risk (health, economic &amp; operations) to communities and residents. Business Continuity Plans are being progressed, co-ordinated and managed to understand impacts (PESTLE) and actions for mitigation.</w:t>
      </w:r>
    </w:p>
    <w:p w14:paraId="668E033B" w14:textId="77777777" w:rsidR="00C419D5" w:rsidRPr="001969A3" w:rsidRDefault="00C419D5" w:rsidP="001969A3">
      <w:pPr>
        <w:ind w:left="360"/>
        <w:rPr>
          <w:rFonts w:cs="Arial"/>
        </w:rPr>
      </w:pPr>
    </w:p>
    <w:p w14:paraId="711EE99D" w14:textId="77777777" w:rsidR="00843C94" w:rsidRDefault="00CA6FEE" w:rsidP="008E0C9D">
      <w:pPr>
        <w:pStyle w:val="ListParagraph"/>
        <w:numPr>
          <w:ilvl w:val="0"/>
          <w:numId w:val="43"/>
        </w:numPr>
        <w:rPr>
          <w:rFonts w:cs="Arial"/>
        </w:rPr>
      </w:pPr>
      <w:r>
        <w:rPr>
          <w:rFonts w:cs="Arial"/>
          <w:b/>
        </w:rPr>
        <w:t xml:space="preserve">Community Services - </w:t>
      </w:r>
      <w:r w:rsidR="00843C94">
        <w:rPr>
          <w:rFonts w:cs="Arial"/>
        </w:rPr>
        <w:t xml:space="preserve">this relates to </w:t>
      </w:r>
      <w:r>
        <w:rPr>
          <w:rFonts w:cs="Arial"/>
        </w:rPr>
        <w:t>the non-achievement of Town Hall income targets. Due to the Covid-19 pandemic, the total value of room hire bookings stands at £236k. From July 2020 until the end of the financial year, there is confirmed business of £220k which is 39% against budget. Currently working on a recovery &amp; mobilisation plan to work alongside latest Government guidance.</w:t>
      </w:r>
      <w:r w:rsidR="00C419D5">
        <w:rPr>
          <w:rFonts w:cs="Arial"/>
        </w:rPr>
        <w:t xml:space="preserve"> </w:t>
      </w:r>
    </w:p>
    <w:p w14:paraId="49F51D8D" w14:textId="77777777" w:rsidR="0028360C" w:rsidRPr="0028360C" w:rsidRDefault="0028360C" w:rsidP="0028360C">
      <w:pPr>
        <w:ind w:left="360"/>
        <w:rPr>
          <w:rFonts w:cs="Arial"/>
        </w:rPr>
      </w:pPr>
    </w:p>
    <w:p w14:paraId="5B7B8B41" w14:textId="77777777" w:rsidR="00AC3B83" w:rsidRPr="00516995" w:rsidRDefault="00A05786" w:rsidP="00516995">
      <w:pPr>
        <w:pStyle w:val="ListParagraph"/>
        <w:numPr>
          <w:ilvl w:val="0"/>
          <w:numId w:val="43"/>
        </w:numPr>
        <w:rPr>
          <w:rFonts w:ascii="Calibri" w:hAnsi="Calibri"/>
          <w:sz w:val="22"/>
          <w:szCs w:val="22"/>
        </w:rPr>
      </w:pPr>
      <w:r w:rsidRPr="00516995">
        <w:rPr>
          <w:rFonts w:cs="Arial"/>
          <w:b/>
        </w:rPr>
        <w:t>Financial Services –</w:t>
      </w:r>
      <w:r w:rsidRPr="00516995">
        <w:rPr>
          <w:rFonts w:cs="Arial"/>
        </w:rPr>
        <w:t xml:space="preserve"> this relates to </w:t>
      </w:r>
      <w:r w:rsidR="00A27C2D" w:rsidRPr="00516995">
        <w:rPr>
          <w:rFonts w:cs="Arial"/>
        </w:rPr>
        <w:t xml:space="preserve">ICT </w:t>
      </w:r>
      <w:r w:rsidR="00AC3B83" w:rsidRPr="00516995">
        <w:rPr>
          <w:rFonts w:cs="Arial"/>
        </w:rPr>
        <w:t xml:space="preserve">and </w:t>
      </w:r>
      <w:r w:rsidR="00AC3B83" w:rsidRPr="00516995">
        <w:t>the delays being suffered on the Go Live of QL and the impact this has had on other system upgrades and implementations within the service area, such as Civica Pay and the Academy system replacement.</w:t>
      </w:r>
    </w:p>
    <w:p w14:paraId="2D9A1F12" w14:textId="77777777" w:rsidR="00AC3B83" w:rsidRPr="00516995" w:rsidRDefault="00AC3B83" w:rsidP="00516995">
      <w:pPr>
        <w:ind w:left="360"/>
        <w:rPr>
          <w:rFonts w:ascii="Calibri" w:hAnsi="Calibri"/>
          <w:sz w:val="22"/>
          <w:szCs w:val="22"/>
        </w:rPr>
      </w:pPr>
    </w:p>
    <w:p w14:paraId="0CA6C2F2" w14:textId="77777777" w:rsidR="00A27C2D" w:rsidRPr="00516995" w:rsidRDefault="00A27C2D" w:rsidP="00516995">
      <w:pPr>
        <w:pStyle w:val="ListParagraph"/>
        <w:numPr>
          <w:ilvl w:val="0"/>
          <w:numId w:val="43"/>
        </w:numPr>
        <w:rPr>
          <w:rFonts w:cs="Arial"/>
        </w:rPr>
      </w:pPr>
      <w:r w:rsidRPr="00516995">
        <w:rPr>
          <w:rFonts w:cs="Arial"/>
          <w:b/>
        </w:rPr>
        <w:t xml:space="preserve">Financial Services </w:t>
      </w:r>
      <w:r w:rsidRPr="00516995">
        <w:rPr>
          <w:rFonts w:cs="Arial"/>
        </w:rPr>
        <w:t xml:space="preserve">– this </w:t>
      </w:r>
      <w:r w:rsidR="00C15483" w:rsidRPr="00516995">
        <w:rPr>
          <w:rFonts w:cs="Arial"/>
        </w:rPr>
        <w:t xml:space="preserve">is a new risk and </w:t>
      </w:r>
      <w:r w:rsidRPr="00516995">
        <w:rPr>
          <w:rFonts w:cs="Arial"/>
        </w:rPr>
        <w:t>relates to</w:t>
      </w:r>
      <w:r w:rsidR="00FF67F6" w:rsidRPr="00516995">
        <w:rPr>
          <w:rFonts w:cs="Arial"/>
        </w:rPr>
        <w:t xml:space="preserve"> Management effectiveness and employee ability to deliver services due to the Covid-19 pandemic. This has increased workloads and the volume of emails</w:t>
      </w:r>
      <w:r w:rsidR="00C15483" w:rsidRPr="00516995">
        <w:rPr>
          <w:rFonts w:cs="Arial"/>
        </w:rPr>
        <w:t>,</w:t>
      </w:r>
      <w:r w:rsidR="00FF67F6" w:rsidRPr="00516995">
        <w:rPr>
          <w:rFonts w:cs="Arial"/>
        </w:rPr>
        <w:t xml:space="preserve"> </w:t>
      </w:r>
      <w:r w:rsidR="00C15483" w:rsidRPr="00516995">
        <w:rPr>
          <w:rFonts w:cs="Arial"/>
        </w:rPr>
        <w:t>which together with the many on</w:t>
      </w:r>
      <w:r w:rsidR="00FF67F6" w:rsidRPr="00516995">
        <w:rPr>
          <w:rFonts w:cs="Arial"/>
        </w:rPr>
        <w:t>-line meetings</w:t>
      </w:r>
      <w:r w:rsidR="00C15483" w:rsidRPr="00516995">
        <w:rPr>
          <w:rFonts w:cs="Arial"/>
        </w:rPr>
        <w:t xml:space="preserve"> </w:t>
      </w:r>
      <w:r w:rsidR="00FF67F6" w:rsidRPr="00516995">
        <w:rPr>
          <w:rFonts w:cs="Arial"/>
        </w:rPr>
        <w:t xml:space="preserve">is placing excessive pressure and demands on staff and managers. </w:t>
      </w:r>
    </w:p>
    <w:p w14:paraId="74916360" w14:textId="77777777" w:rsidR="00960DA0" w:rsidRPr="00FD43E0" w:rsidRDefault="00960DA0" w:rsidP="00FD43E0">
      <w:pPr>
        <w:pStyle w:val="ListParagraph"/>
        <w:rPr>
          <w:rFonts w:cs="Arial"/>
        </w:rPr>
      </w:pPr>
    </w:p>
    <w:p w14:paraId="089E5330" w14:textId="77777777" w:rsidR="00960DA0" w:rsidRDefault="00960DA0" w:rsidP="008E0C9D">
      <w:pPr>
        <w:pStyle w:val="ListParagraph"/>
        <w:numPr>
          <w:ilvl w:val="0"/>
          <w:numId w:val="43"/>
        </w:numPr>
        <w:rPr>
          <w:rFonts w:cs="Arial"/>
        </w:rPr>
      </w:pPr>
      <w:r w:rsidRPr="00FD43E0">
        <w:rPr>
          <w:rFonts w:cs="Arial"/>
          <w:b/>
        </w:rPr>
        <w:t>Regulatory Services</w:t>
      </w:r>
      <w:r>
        <w:rPr>
          <w:rFonts w:cs="Arial"/>
        </w:rPr>
        <w:t xml:space="preserve"> – this relates to Public Health Protection. The </w:t>
      </w:r>
      <w:r w:rsidR="00A96EAB">
        <w:rPr>
          <w:rFonts w:cs="Arial"/>
        </w:rPr>
        <w:t>Covid-19 pandemic and lockdown has disrupted service delivery and only emergency visits are being carried out.</w:t>
      </w:r>
    </w:p>
    <w:p w14:paraId="3CEA0EE9" w14:textId="77777777" w:rsidR="00EA11A6" w:rsidRPr="00516995" w:rsidRDefault="00EA11A6" w:rsidP="00516995">
      <w:pPr>
        <w:pStyle w:val="ListParagraph"/>
        <w:rPr>
          <w:rFonts w:cs="Arial"/>
        </w:rPr>
      </w:pPr>
    </w:p>
    <w:p w14:paraId="7A4ADC81" w14:textId="77777777" w:rsidR="00EA11A6" w:rsidRDefault="00EA11A6" w:rsidP="008E0C9D">
      <w:pPr>
        <w:pStyle w:val="ListParagraph"/>
        <w:numPr>
          <w:ilvl w:val="0"/>
          <w:numId w:val="43"/>
        </w:numPr>
        <w:rPr>
          <w:rFonts w:cs="Arial"/>
        </w:rPr>
      </w:pPr>
      <w:r w:rsidRPr="00516995">
        <w:rPr>
          <w:rFonts w:cs="Arial"/>
          <w:b/>
        </w:rPr>
        <w:t>Housing Services</w:t>
      </w:r>
      <w:r>
        <w:rPr>
          <w:rFonts w:cs="Arial"/>
        </w:rPr>
        <w:t xml:space="preserve"> – this relates to increased homelessness costs which has been </w:t>
      </w:r>
      <w:r w:rsidR="00A96EAB">
        <w:rPr>
          <w:rFonts w:cs="Arial"/>
        </w:rPr>
        <w:t xml:space="preserve">additionally </w:t>
      </w:r>
      <w:r>
        <w:rPr>
          <w:rFonts w:cs="Arial"/>
        </w:rPr>
        <w:t xml:space="preserve">impacted due to the Covid-19 crisis. </w:t>
      </w:r>
    </w:p>
    <w:p w14:paraId="24FA353B" w14:textId="77777777" w:rsidR="001C2953" w:rsidRDefault="001C2953" w:rsidP="003722CF">
      <w:pPr>
        <w:rPr>
          <w:rFonts w:cs="Arial"/>
          <w:b/>
        </w:rPr>
      </w:pPr>
    </w:p>
    <w:p w14:paraId="2DD8CF5C" w14:textId="77777777" w:rsidR="001C2953" w:rsidRDefault="001C2953" w:rsidP="003979BE">
      <w:pPr>
        <w:pStyle w:val="Heading1"/>
      </w:pPr>
      <w:r>
        <w:t>Business Continuity</w:t>
      </w:r>
    </w:p>
    <w:p w14:paraId="7197B55D" w14:textId="77777777" w:rsidR="001C2953" w:rsidRDefault="001C2953" w:rsidP="003722CF">
      <w:pPr>
        <w:rPr>
          <w:rFonts w:cs="Arial"/>
          <w:b/>
        </w:rPr>
      </w:pPr>
    </w:p>
    <w:p w14:paraId="6415B2C9" w14:textId="0C092F1B" w:rsidR="00B647CA" w:rsidRDefault="00A617AE" w:rsidP="006F4BA2">
      <w:pPr>
        <w:numPr>
          <w:ilvl w:val="0"/>
          <w:numId w:val="1"/>
        </w:numPr>
        <w:ind w:left="426" w:hanging="426"/>
        <w:rPr>
          <w:rFonts w:cs="Arial"/>
        </w:rPr>
      </w:pPr>
      <w:r>
        <w:rPr>
          <w:rFonts w:cs="Arial"/>
        </w:rPr>
        <w:t>The</w:t>
      </w:r>
      <w:r w:rsidR="007A4B85">
        <w:rPr>
          <w:rFonts w:cs="Arial"/>
        </w:rPr>
        <w:t xml:space="preserve"> Council responded to the COVID-19 pandemic in compliance with Government guidelines. All of the offices were closed with most staff working from home and all work which couldn’t be carried out within Government guidelines was ceased. Alongside this the Council set up locality hubs to support vulnerable people and arranged for accommodation to ensure all rough sleepers could safely be removed from the streets. Broadly, Information Technology systems coped with the change in demands; bandwidth on the Council’s VPN was increased to assist with the increased electronic traffic, although there are clearly signs of strain on the capacity at peak times. Different services had different pressures and needed to manage all of the challenges in a way that was appropriate to that service. More details of the findings of many of the Council’s services are included in Appendix 2.</w:t>
      </w:r>
    </w:p>
    <w:p w14:paraId="2F78A88E" w14:textId="77777777" w:rsidR="007A4B85" w:rsidRDefault="007A4B85" w:rsidP="00DA3392">
      <w:pPr>
        <w:rPr>
          <w:rFonts w:cs="Arial"/>
        </w:rPr>
      </w:pPr>
    </w:p>
    <w:p w14:paraId="42E719C4" w14:textId="77777777" w:rsidR="007A4B85" w:rsidRDefault="007A4B85" w:rsidP="007232A2">
      <w:pPr>
        <w:numPr>
          <w:ilvl w:val="0"/>
          <w:numId w:val="1"/>
        </w:numPr>
        <w:ind w:left="426" w:hanging="426"/>
        <w:rPr>
          <w:rFonts w:cs="Arial"/>
        </w:rPr>
      </w:pPr>
      <w:r w:rsidRPr="007232A2">
        <w:rPr>
          <w:rFonts w:cs="Arial"/>
        </w:rPr>
        <w:t xml:space="preserve">The Council’s Corporate Business Continuity plan anticipated that if the main Council offices were not available, then alternative accommodation would be needed for office based staff. Due to the nature of the pandemic, the use of alternative corporate accommodation was not possible and in the event it was proved that this accommodation wasn’t needed. The Council’s Corporate and Service Business Continuity plans will need to be updated in line with the findings from recent events. </w:t>
      </w:r>
      <w:r w:rsidR="007232A2" w:rsidRPr="007232A2">
        <w:rPr>
          <w:rFonts w:cs="Arial"/>
        </w:rPr>
        <w:t>Additionally, as a result of the almost universal working remotely, the Council is reviewing its business model and the need for office space now and in the future. A remote working task and finish working group has been set up to review working practices and accommodation requirements going forward.</w:t>
      </w:r>
    </w:p>
    <w:p w14:paraId="36D4474D" w14:textId="77777777" w:rsidR="0010447E" w:rsidRDefault="0010447E" w:rsidP="0010447E">
      <w:pPr>
        <w:pStyle w:val="ListParagraph"/>
        <w:rPr>
          <w:rFonts w:cs="Arial"/>
        </w:rPr>
      </w:pPr>
    </w:p>
    <w:p w14:paraId="08C01950" w14:textId="4F82FE0D" w:rsidR="0010447E" w:rsidRPr="00FB5F64" w:rsidRDefault="000B58DA" w:rsidP="0010447E">
      <w:pPr>
        <w:numPr>
          <w:ilvl w:val="0"/>
          <w:numId w:val="1"/>
        </w:numPr>
        <w:autoSpaceDE w:val="0"/>
        <w:autoSpaceDN w:val="0"/>
        <w:adjustRightInd w:val="0"/>
        <w:ind w:left="426"/>
        <w:jc w:val="both"/>
        <w:rPr>
          <w:rFonts w:cs="Arial"/>
          <w:color w:val="000000"/>
          <w:lang w:eastAsia="en-GB"/>
        </w:rPr>
      </w:pPr>
      <w:r w:rsidRPr="00FB5F64">
        <w:rPr>
          <w:rFonts w:cs="Arial"/>
        </w:rPr>
        <w:t xml:space="preserve">The Councils plans for </w:t>
      </w:r>
      <w:r w:rsidR="003979BE">
        <w:rPr>
          <w:rFonts w:cs="Arial"/>
        </w:rPr>
        <w:t>r</w:t>
      </w:r>
      <w:r w:rsidR="0010447E" w:rsidRPr="00FB5F64">
        <w:rPr>
          <w:rFonts w:cs="Arial"/>
        </w:rPr>
        <w:t xml:space="preserve">estart, recovery and renewal </w:t>
      </w:r>
      <w:r w:rsidRPr="00FB5F64">
        <w:rPr>
          <w:rFonts w:cs="Arial"/>
        </w:rPr>
        <w:t xml:space="preserve">as reported to Cabinet on 24 June </w:t>
      </w:r>
      <w:r w:rsidR="0010447E" w:rsidRPr="00FB5F64">
        <w:rPr>
          <w:rFonts w:cs="Arial"/>
        </w:rPr>
        <w:t xml:space="preserve">will be an ongoing process that helps anticipate, prepare in the event of a second spike, response to and recovery from the impact of COVID-19.  </w:t>
      </w:r>
      <w:r w:rsidR="0010447E" w:rsidRPr="00FB5F64">
        <w:rPr>
          <w:rFonts w:cs="Arial"/>
          <w:color w:val="000000"/>
          <w:lang w:eastAsia="en-GB"/>
        </w:rPr>
        <w:t xml:space="preserve">The Services will continue to deliver and develop effective processes to help mitigate risks to the smooth running and delivery of </w:t>
      </w:r>
      <w:r w:rsidR="0010447E" w:rsidRPr="00FB5F64">
        <w:rPr>
          <w:rFonts w:cs="Arial"/>
          <w:color w:val="000000"/>
          <w:lang w:eastAsia="en-GB"/>
        </w:rPr>
        <w:lastRenderedPageBreak/>
        <w:t>services, ensuring they can best continue to operate to the extent required in the event of COVID-19 and beyond. These are likely to include:</w:t>
      </w:r>
    </w:p>
    <w:p w14:paraId="4C97B85A" w14:textId="77777777" w:rsidR="0010447E" w:rsidRDefault="0010447E" w:rsidP="0010447E">
      <w:pPr>
        <w:autoSpaceDE w:val="0"/>
        <w:autoSpaceDN w:val="0"/>
        <w:adjustRightInd w:val="0"/>
        <w:jc w:val="both"/>
        <w:rPr>
          <w:rFonts w:cs="Arial"/>
          <w:color w:val="000000"/>
          <w:sz w:val="22"/>
          <w:szCs w:val="22"/>
          <w:lang w:eastAsia="en-GB"/>
        </w:rPr>
      </w:pPr>
    </w:p>
    <w:p w14:paraId="73882790" w14:textId="77777777" w:rsidR="0010447E" w:rsidRPr="00FB5F64" w:rsidRDefault="0010447E" w:rsidP="0010447E">
      <w:pPr>
        <w:pStyle w:val="ListParagraph"/>
        <w:numPr>
          <w:ilvl w:val="0"/>
          <w:numId w:val="47"/>
        </w:numPr>
        <w:spacing w:after="160" w:line="256" w:lineRule="auto"/>
        <w:contextualSpacing/>
        <w:rPr>
          <w:rFonts w:cs="Arial"/>
        </w:rPr>
      </w:pPr>
      <w:r w:rsidRPr="00FB5F64">
        <w:t>Task and finish groups</w:t>
      </w:r>
    </w:p>
    <w:p w14:paraId="4962BB78" w14:textId="77777777" w:rsidR="0010447E" w:rsidRPr="00FB5F64" w:rsidRDefault="0010447E" w:rsidP="0010447E">
      <w:pPr>
        <w:pStyle w:val="ListParagraph"/>
        <w:numPr>
          <w:ilvl w:val="0"/>
          <w:numId w:val="47"/>
        </w:numPr>
        <w:spacing w:after="160" w:line="256" w:lineRule="auto"/>
        <w:contextualSpacing/>
      </w:pPr>
      <w:r w:rsidRPr="00FB5F64">
        <w:t>Identifying alternative strategies to mitigate further loss and assessing their potential effectiveness in maintaining ability to deliver critical and new - some unknown – service functions</w:t>
      </w:r>
    </w:p>
    <w:p w14:paraId="6BBEC3AE" w14:textId="77777777" w:rsidR="0010447E" w:rsidRPr="00FB5F64" w:rsidRDefault="0010447E" w:rsidP="0010447E">
      <w:pPr>
        <w:pStyle w:val="ListParagraph"/>
        <w:numPr>
          <w:ilvl w:val="0"/>
          <w:numId w:val="47"/>
        </w:numPr>
        <w:spacing w:after="160" w:line="256" w:lineRule="auto"/>
        <w:contextualSpacing/>
      </w:pPr>
      <w:r w:rsidRPr="00FB5F64">
        <w:t>Contract variations</w:t>
      </w:r>
    </w:p>
    <w:p w14:paraId="1065E94B" w14:textId="77777777" w:rsidR="0010447E" w:rsidRPr="00FB5F64" w:rsidRDefault="0010447E" w:rsidP="0010447E">
      <w:pPr>
        <w:pStyle w:val="ListParagraph"/>
        <w:numPr>
          <w:ilvl w:val="0"/>
          <w:numId w:val="47"/>
        </w:numPr>
        <w:spacing w:after="160" w:line="256" w:lineRule="auto"/>
        <w:contextualSpacing/>
      </w:pPr>
      <w:r w:rsidRPr="00FB5F64">
        <w:t>New ways of working</w:t>
      </w:r>
    </w:p>
    <w:p w14:paraId="30B3981F" w14:textId="77777777" w:rsidR="0010447E" w:rsidRPr="00FB5F64" w:rsidRDefault="0010447E" w:rsidP="0010447E">
      <w:pPr>
        <w:pStyle w:val="ListParagraph"/>
        <w:numPr>
          <w:ilvl w:val="0"/>
          <w:numId w:val="47"/>
        </w:numPr>
        <w:spacing w:after="160" w:line="256" w:lineRule="auto"/>
        <w:contextualSpacing/>
      </w:pPr>
      <w:r w:rsidRPr="00FB5F64">
        <w:t>Staff well-being and resilience</w:t>
      </w:r>
    </w:p>
    <w:p w14:paraId="74DFA7BD" w14:textId="77777777" w:rsidR="0010447E" w:rsidRPr="00FB5F64" w:rsidRDefault="0010447E" w:rsidP="0010447E">
      <w:pPr>
        <w:pStyle w:val="ListParagraph"/>
        <w:numPr>
          <w:ilvl w:val="0"/>
          <w:numId w:val="47"/>
        </w:numPr>
        <w:spacing w:after="160" w:line="256" w:lineRule="auto"/>
        <w:contextualSpacing/>
      </w:pPr>
      <w:r w:rsidRPr="00FB5F64">
        <w:t>Service transformation (i.e. using skills and learning to create new structure)</w:t>
      </w:r>
    </w:p>
    <w:p w14:paraId="4332ECA1" w14:textId="77777777" w:rsidR="0010447E" w:rsidRPr="00FB5F64" w:rsidRDefault="0010447E" w:rsidP="0010447E">
      <w:pPr>
        <w:pStyle w:val="ListParagraph"/>
        <w:numPr>
          <w:ilvl w:val="0"/>
          <w:numId w:val="47"/>
        </w:numPr>
        <w:spacing w:after="160" w:line="256" w:lineRule="auto"/>
        <w:contextualSpacing/>
      </w:pPr>
      <w:r w:rsidRPr="00FB5F64">
        <w:t>Budget review and re-prioritisation</w:t>
      </w:r>
    </w:p>
    <w:p w14:paraId="13ACB6C8" w14:textId="77777777" w:rsidR="0010447E" w:rsidRPr="00FB5F64" w:rsidRDefault="0010447E" w:rsidP="0010447E">
      <w:pPr>
        <w:pStyle w:val="ListParagraph"/>
        <w:numPr>
          <w:ilvl w:val="0"/>
          <w:numId w:val="47"/>
        </w:numPr>
        <w:spacing w:after="160" w:line="256" w:lineRule="auto"/>
        <w:contextualSpacing/>
      </w:pPr>
      <w:r w:rsidRPr="00FB5F64">
        <w:t>Generating new revenue</w:t>
      </w:r>
    </w:p>
    <w:p w14:paraId="63ECC569" w14:textId="77777777" w:rsidR="0010447E" w:rsidRPr="00FB5F64" w:rsidRDefault="0010447E" w:rsidP="0010447E">
      <w:pPr>
        <w:pStyle w:val="ListParagraph"/>
        <w:numPr>
          <w:ilvl w:val="0"/>
          <w:numId w:val="47"/>
        </w:numPr>
        <w:spacing w:after="160" w:line="256" w:lineRule="auto"/>
        <w:contextualSpacing/>
      </w:pPr>
      <w:r w:rsidRPr="00FB5F64">
        <w:t>Shielding the most vulnerable</w:t>
      </w:r>
    </w:p>
    <w:p w14:paraId="0D5E342D" w14:textId="77777777" w:rsidR="0010447E" w:rsidRPr="00FB5F64" w:rsidRDefault="0010447E" w:rsidP="0010447E">
      <w:pPr>
        <w:pStyle w:val="ListParagraph"/>
        <w:numPr>
          <w:ilvl w:val="0"/>
          <w:numId w:val="47"/>
        </w:numPr>
        <w:spacing w:after="160" w:line="256" w:lineRule="auto"/>
        <w:contextualSpacing/>
      </w:pPr>
      <w:r w:rsidRPr="00FB5F64">
        <w:t>Healthy Place Shaping</w:t>
      </w:r>
    </w:p>
    <w:p w14:paraId="72044C74" w14:textId="77777777" w:rsidR="0010447E" w:rsidRPr="00FB5F64" w:rsidRDefault="0010447E" w:rsidP="0010447E">
      <w:pPr>
        <w:pStyle w:val="ListParagraph"/>
        <w:numPr>
          <w:ilvl w:val="0"/>
          <w:numId w:val="47"/>
        </w:numPr>
        <w:spacing w:after="160" w:line="256" w:lineRule="auto"/>
        <w:contextualSpacing/>
      </w:pPr>
      <w:r w:rsidRPr="00FB5F64">
        <w:t>Strengthening and creating new partners</w:t>
      </w:r>
    </w:p>
    <w:p w14:paraId="29F6017E" w14:textId="77777777" w:rsidR="0010447E" w:rsidRPr="00FB5F64" w:rsidRDefault="0010447E" w:rsidP="0010447E">
      <w:pPr>
        <w:pStyle w:val="ListParagraph"/>
        <w:numPr>
          <w:ilvl w:val="0"/>
          <w:numId w:val="47"/>
        </w:numPr>
        <w:spacing w:after="160" w:line="256" w:lineRule="auto"/>
        <w:contextualSpacing/>
      </w:pPr>
      <w:r w:rsidRPr="00FB5F64">
        <w:t>Transforming the service business plan to help address new challenges and changing needs.</w:t>
      </w:r>
    </w:p>
    <w:p w14:paraId="5DA40248" w14:textId="77777777" w:rsidR="00B647CA" w:rsidRDefault="001C2953" w:rsidP="003979BE">
      <w:pPr>
        <w:pStyle w:val="Heading1"/>
      </w:pPr>
      <w:r>
        <w:t xml:space="preserve">Climate Change/Environmental Impact </w:t>
      </w:r>
    </w:p>
    <w:p w14:paraId="77F8773E" w14:textId="77777777" w:rsidR="006D13DC" w:rsidRPr="00C346DC" w:rsidRDefault="006D13DC" w:rsidP="006F4BA2">
      <w:pPr>
        <w:rPr>
          <w:rFonts w:cs="Arial"/>
        </w:rPr>
      </w:pPr>
    </w:p>
    <w:p w14:paraId="120385BB" w14:textId="77777777" w:rsidR="006F4BA2" w:rsidRPr="008B29A7" w:rsidRDefault="00B647CA" w:rsidP="006F4BA2">
      <w:pPr>
        <w:numPr>
          <w:ilvl w:val="0"/>
          <w:numId w:val="1"/>
        </w:numPr>
        <w:ind w:left="426" w:hanging="426"/>
        <w:rPr>
          <w:rFonts w:cs="Arial"/>
        </w:rPr>
      </w:pPr>
      <w:r w:rsidRPr="008B29A7">
        <w:rPr>
          <w:rFonts w:cs="Arial"/>
        </w:rPr>
        <w:t xml:space="preserve">There are no </w:t>
      </w:r>
      <w:r w:rsidR="001C2953">
        <w:rPr>
          <w:rFonts w:cs="Arial"/>
        </w:rPr>
        <w:t xml:space="preserve">specific </w:t>
      </w:r>
      <w:r w:rsidRPr="008B29A7">
        <w:rPr>
          <w:rFonts w:cs="Arial"/>
        </w:rPr>
        <w:t>impacts arising directly from this report</w:t>
      </w:r>
    </w:p>
    <w:p w14:paraId="2C2E0252" w14:textId="77777777" w:rsidR="00603BED" w:rsidRPr="00C346DC" w:rsidRDefault="00603BED" w:rsidP="006F4BA2">
      <w:pPr>
        <w:rPr>
          <w:rFonts w:cs="Arial"/>
        </w:rPr>
      </w:pPr>
    </w:p>
    <w:p w14:paraId="7C1BBDC8" w14:textId="77777777" w:rsidR="00B647CA" w:rsidRDefault="001C2953" w:rsidP="003979BE">
      <w:pPr>
        <w:pStyle w:val="Heading1"/>
      </w:pPr>
      <w:r>
        <w:t>Equalities Impact</w:t>
      </w:r>
    </w:p>
    <w:p w14:paraId="4F4C921F" w14:textId="77777777" w:rsidR="006D13DC" w:rsidRPr="00C346DC" w:rsidRDefault="006D13DC" w:rsidP="006F4BA2">
      <w:pPr>
        <w:rPr>
          <w:rFonts w:cs="Arial"/>
        </w:rPr>
      </w:pPr>
    </w:p>
    <w:p w14:paraId="478EA1D4" w14:textId="77777777" w:rsidR="006D13DC" w:rsidRPr="007B753F" w:rsidRDefault="00D424B6" w:rsidP="007B753F">
      <w:pPr>
        <w:pStyle w:val="ListParagraph"/>
        <w:numPr>
          <w:ilvl w:val="0"/>
          <w:numId w:val="1"/>
        </w:numPr>
        <w:ind w:left="426" w:hanging="426"/>
        <w:rPr>
          <w:rFonts w:cs="Arial"/>
        </w:rPr>
      </w:pPr>
      <w:r w:rsidRPr="007B753F">
        <w:rPr>
          <w:rFonts w:cs="Arial"/>
        </w:rPr>
        <w:t xml:space="preserve">There are no </w:t>
      </w:r>
      <w:r w:rsidR="001C2953">
        <w:rPr>
          <w:rFonts w:cs="Arial"/>
        </w:rPr>
        <w:t xml:space="preserve">equalities impacts </w:t>
      </w:r>
      <w:r w:rsidRPr="007B753F">
        <w:rPr>
          <w:rFonts w:cs="Arial"/>
        </w:rPr>
        <w:t xml:space="preserve">arising directly from this report. </w:t>
      </w:r>
    </w:p>
    <w:p w14:paraId="45E31171" w14:textId="77777777" w:rsidR="007B753F" w:rsidRDefault="007B753F" w:rsidP="00445174">
      <w:pPr>
        <w:rPr>
          <w:rFonts w:cs="Arial"/>
          <w:b/>
        </w:rPr>
      </w:pPr>
    </w:p>
    <w:p w14:paraId="3320E435" w14:textId="77777777" w:rsidR="00445174" w:rsidRDefault="001C2953" w:rsidP="003979BE">
      <w:pPr>
        <w:pStyle w:val="Heading1"/>
      </w:pPr>
      <w:r>
        <w:t xml:space="preserve">Financial </w:t>
      </w:r>
      <w:r w:rsidR="005044C6" w:rsidRPr="005044C6">
        <w:t>Implications</w:t>
      </w:r>
    </w:p>
    <w:p w14:paraId="0FDF9C06" w14:textId="77777777" w:rsidR="006D13DC" w:rsidRPr="00C346DC" w:rsidRDefault="006D13DC" w:rsidP="00445174">
      <w:pPr>
        <w:rPr>
          <w:rFonts w:cs="Arial"/>
        </w:rPr>
      </w:pPr>
    </w:p>
    <w:p w14:paraId="107152B2" w14:textId="77777777" w:rsidR="001C2953" w:rsidRPr="007232A2" w:rsidRDefault="005044C6" w:rsidP="00BD4A81">
      <w:pPr>
        <w:numPr>
          <w:ilvl w:val="0"/>
          <w:numId w:val="1"/>
        </w:numPr>
        <w:ind w:left="426" w:hanging="426"/>
        <w:rPr>
          <w:rFonts w:cs="Arial"/>
          <w:b/>
        </w:rPr>
      </w:pPr>
      <w:r>
        <w:rPr>
          <w:rFonts w:cs="Arial"/>
        </w:rPr>
        <w:t xml:space="preserve">There are no </w:t>
      </w:r>
      <w:r w:rsidR="001C2953">
        <w:rPr>
          <w:rFonts w:cs="Arial"/>
        </w:rPr>
        <w:t xml:space="preserve">financial </w:t>
      </w:r>
      <w:r>
        <w:rPr>
          <w:rFonts w:cs="Arial"/>
        </w:rPr>
        <w:t xml:space="preserve">implications </w:t>
      </w:r>
      <w:r w:rsidR="001C2953">
        <w:rPr>
          <w:rFonts w:cs="Arial"/>
        </w:rPr>
        <w:t xml:space="preserve">arising </w:t>
      </w:r>
      <w:r>
        <w:rPr>
          <w:rFonts w:cs="Arial"/>
        </w:rPr>
        <w:t xml:space="preserve">directly </w:t>
      </w:r>
      <w:r w:rsidR="001C2953">
        <w:rPr>
          <w:rFonts w:cs="Arial"/>
        </w:rPr>
        <w:t>from this report.</w:t>
      </w:r>
    </w:p>
    <w:p w14:paraId="667E3933" w14:textId="77777777" w:rsidR="001C2953" w:rsidRDefault="001C2953" w:rsidP="007232A2">
      <w:pPr>
        <w:rPr>
          <w:rFonts w:cs="Arial"/>
          <w:b/>
        </w:rPr>
      </w:pPr>
    </w:p>
    <w:p w14:paraId="13653EC2" w14:textId="77777777" w:rsidR="001C2953" w:rsidRPr="007232A2" w:rsidRDefault="001C2953" w:rsidP="003979BE">
      <w:pPr>
        <w:pStyle w:val="Heading1"/>
      </w:pPr>
      <w:r>
        <w:t xml:space="preserve">Legal Implications </w:t>
      </w:r>
    </w:p>
    <w:p w14:paraId="2E255B2A" w14:textId="77777777" w:rsidR="001C2953" w:rsidRPr="007232A2" w:rsidRDefault="001C2953" w:rsidP="007232A2">
      <w:pPr>
        <w:ind w:left="1135"/>
        <w:rPr>
          <w:rFonts w:cs="Arial"/>
          <w:b/>
        </w:rPr>
      </w:pPr>
    </w:p>
    <w:p w14:paraId="6A27270F" w14:textId="77777777" w:rsidR="001C2953" w:rsidRPr="007232A2" w:rsidRDefault="001C2953" w:rsidP="00BD4A81">
      <w:pPr>
        <w:numPr>
          <w:ilvl w:val="0"/>
          <w:numId w:val="1"/>
        </w:numPr>
        <w:ind w:left="426" w:hanging="426"/>
        <w:rPr>
          <w:rFonts w:cs="Arial"/>
          <w:b/>
        </w:rPr>
      </w:pPr>
      <w:r>
        <w:rPr>
          <w:rFonts w:cs="Arial"/>
        </w:rPr>
        <w:t>There are no legal implications directly relevant to this report but having proper arrangements to manage risk throughout the organisation is an important component of good corporate governance and good business management.</w:t>
      </w:r>
      <w:r w:rsidR="0010447E">
        <w:rPr>
          <w:rFonts w:cs="Arial"/>
        </w:rPr>
        <w:t xml:space="preserve">  There are some legal issues that may arise going forward in the business continuity process but these will be managed on a case by case basis.</w:t>
      </w:r>
    </w:p>
    <w:p w14:paraId="7B124B41" w14:textId="77777777" w:rsidR="001C2953" w:rsidRDefault="001C2953" w:rsidP="007232A2">
      <w:pPr>
        <w:ind w:left="1135"/>
        <w:rPr>
          <w:rFonts w:cs="Arial"/>
          <w:b/>
        </w:rPr>
      </w:pPr>
    </w:p>
    <w:tbl>
      <w:tblPr>
        <w:tblW w:w="59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9"/>
      </w:tblGrid>
      <w:tr w:rsidR="005D4C4D" w14:paraId="686144E1" w14:textId="77777777" w:rsidTr="003979BE">
        <w:trPr>
          <w:trHeight w:val="270"/>
        </w:trPr>
        <w:tc>
          <w:tcPr>
            <w:tcW w:w="5949" w:type="dxa"/>
          </w:tcPr>
          <w:p w14:paraId="07DDF088" w14:textId="77777777" w:rsidR="005D4C4D" w:rsidRDefault="005D4C4D" w:rsidP="005D4C4D">
            <w:pPr>
              <w:tabs>
                <w:tab w:val="left" w:pos="720"/>
                <w:tab w:val="left" w:pos="1440"/>
                <w:tab w:val="left" w:pos="2160"/>
                <w:tab w:val="left" w:pos="2880"/>
              </w:tabs>
            </w:pPr>
            <w:r>
              <w:rPr>
                <w:b/>
                <w:bCs/>
              </w:rPr>
              <w:t>Name and contact details of author:-</w:t>
            </w:r>
          </w:p>
        </w:tc>
      </w:tr>
      <w:tr w:rsidR="005D4C4D" w14:paraId="68AC7C51" w14:textId="77777777" w:rsidTr="003979BE">
        <w:trPr>
          <w:trHeight w:val="285"/>
        </w:trPr>
        <w:tc>
          <w:tcPr>
            <w:tcW w:w="5949" w:type="dxa"/>
          </w:tcPr>
          <w:p w14:paraId="769C63C5" w14:textId="77777777" w:rsidR="005D4C4D" w:rsidRDefault="005D4C4D" w:rsidP="00347697">
            <w:pPr>
              <w:tabs>
                <w:tab w:val="left" w:pos="720"/>
                <w:tab w:val="left" w:pos="1440"/>
                <w:tab w:val="left" w:pos="2160"/>
                <w:tab w:val="left" w:pos="2880"/>
              </w:tabs>
            </w:pPr>
            <w:r>
              <w:t xml:space="preserve">Name:  </w:t>
            </w:r>
            <w:r w:rsidR="00347697">
              <w:t>Alison Nash</w:t>
            </w:r>
          </w:p>
        </w:tc>
      </w:tr>
      <w:tr w:rsidR="005D4C4D" w14:paraId="37B75914" w14:textId="77777777" w:rsidTr="003979BE">
        <w:trPr>
          <w:trHeight w:val="270"/>
        </w:trPr>
        <w:tc>
          <w:tcPr>
            <w:tcW w:w="5949" w:type="dxa"/>
          </w:tcPr>
          <w:p w14:paraId="3C2A2417" w14:textId="77777777"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14:paraId="4A00B285" w14:textId="77777777" w:rsidTr="003979BE">
        <w:trPr>
          <w:trHeight w:val="270"/>
        </w:trPr>
        <w:tc>
          <w:tcPr>
            <w:tcW w:w="5949" w:type="dxa"/>
          </w:tcPr>
          <w:p w14:paraId="0FE11C20" w14:textId="77777777"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14:paraId="3E4E0977" w14:textId="77777777" w:rsidTr="003979BE">
        <w:trPr>
          <w:trHeight w:val="570"/>
        </w:trPr>
        <w:tc>
          <w:tcPr>
            <w:tcW w:w="5949" w:type="dxa"/>
          </w:tcPr>
          <w:p w14:paraId="17CD6951" w14:textId="6E419435"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hyperlink r:id="rId9" w:history="1">
              <w:r w:rsidR="003979BE" w:rsidRPr="00504D3F">
                <w:rPr>
                  <w:rStyle w:val="Hyperlink"/>
                  <w:lang w:val="de-DE"/>
                </w:rPr>
                <w:t>anash@oxford.gov.uk</w:t>
              </w:r>
            </w:hyperlink>
            <w:r w:rsidR="003979BE">
              <w:rPr>
                <w:lang w:val="de-DE"/>
              </w:rPr>
              <w:t xml:space="preserve"> </w:t>
            </w:r>
          </w:p>
        </w:tc>
      </w:tr>
    </w:tbl>
    <w:p w14:paraId="52CDE72E" w14:textId="77777777" w:rsidR="005D4C4D" w:rsidRPr="00B7705C" w:rsidRDefault="005D4C4D" w:rsidP="005D4C4D">
      <w:pPr>
        <w:rPr>
          <w:rFonts w:cs="Arial"/>
          <w:b/>
          <w:bCs/>
          <w:sz w:val="20"/>
          <w:lang w:val="de-DE"/>
        </w:rPr>
      </w:pPr>
    </w:p>
    <w:p w14:paraId="402ABE75" w14:textId="77777777"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A32A7B">
      <w:pgSz w:w="11906" w:h="16838"/>
      <w:pgMar w:top="851"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9AF50" w14:textId="77777777" w:rsidR="00043C00" w:rsidRDefault="00043C00">
      <w:r>
        <w:separator/>
      </w:r>
    </w:p>
  </w:endnote>
  <w:endnote w:type="continuationSeparator" w:id="0">
    <w:p w14:paraId="69B22F07" w14:textId="77777777" w:rsidR="00043C00" w:rsidRDefault="0004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6371" w14:textId="77777777" w:rsidR="00043C00" w:rsidRDefault="00043C00">
      <w:r>
        <w:separator/>
      </w:r>
    </w:p>
  </w:footnote>
  <w:footnote w:type="continuationSeparator" w:id="0">
    <w:p w14:paraId="71580E84" w14:textId="77777777" w:rsidR="00043C00" w:rsidRDefault="0004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53"/>
    <w:multiLevelType w:val="hybridMultilevel"/>
    <w:tmpl w:val="7D16269C"/>
    <w:lvl w:ilvl="0" w:tplc="0809000F">
      <w:start w:val="1"/>
      <w:numFmt w:val="decimal"/>
      <w:lvlText w:val="%1."/>
      <w:lvlJc w:val="left"/>
      <w:pPr>
        <w:ind w:left="1495" w:hanging="360"/>
      </w:pPr>
      <w:rPr>
        <w:rFonts w:hint="default"/>
        <w:b w:val="0"/>
      </w:rPr>
    </w:lvl>
    <w:lvl w:ilvl="1" w:tplc="A6522E3E">
      <w:start w:val="1"/>
      <w:numFmt w:val="bullet"/>
      <w:lvlText w:val=""/>
      <w:lvlJc w:val="left"/>
      <w:pPr>
        <w:ind w:left="2215" w:hanging="360"/>
      </w:pPr>
      <w:rPr>
        <w:rFonts w:ascii="Symbol" w:hAnsi="Symbol" w:hint="default"/>
        <w:color w:val="auto"/>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15:restartNumberingAfterBreak="0">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15:restartNumberingAfterBreak="0">
    <w:nsid w:val="06841525"/>
    <w:multiLevelType w:val="hybridMultilevel"/>
    <w:tmpl w:val="A92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C0345"/>
    <w:multiLevelType w:val="hybridMultilevel"/>
    <w:tmpl w:val="16E49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66BDC"/>
    <w:multiLevelType w:val="hybridMultilevel"/>
    <w:tmpl w:val="6944AD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7" w15:restartNumberingAfterBreak="0">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F1BDF"/>
    <w:multiLevelType w:val="hybridMultilevel"/>
    <w:tmpl w:val="CBAE8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94DA5"/>
    <w:multiLevelType w:val="hybridMultilevel"/>
    <w:tmpl w:val="F27C47E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0" w15:restartNumberingAfterBreak="0">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70B0CD7"/>
    <w:multiLevelType w:val="hybridMultilevel"/>
    <w:tmpl w:val="8976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6" w15:restartNumberingAfterBreak="0">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start w:val="1"/>
      <w:numFmt w:val="bullet"/>
      <w:lvlText w:val=""/>
      <w:lvlJc w:val="left"/>
      <w:pPr>
        <w:ind w:left="1770" w:hanging="360"/>
      </w:pPr>
      <w:rPr>
        <w:rFonts w:ascii="Wingdings" w:hAnsi="Wingdings" w:hint="default"/>
      </w:rPr>
    </w:lvl>
    <w:lvl w:ilvl="3" w:tplc="08090001">
      <w:start w:val="1"/>
      <w:numFmt w:val="bullet"/>
      <w:lvlText w:val=""/>
      <w:lvlJc w:val="left"/>
      <w:pPr>
        <w:ind w:left="2490" w:hanging="360"/>
      </w:pPr>
      <w:rPr>
        <w:rFonts w:ascii="Symbol" w:hAnsi="Symbol" w:hint="default"/>
      </w:rPr>
    </w:lvl>
    <w:lvl w:ilvl="4" w:tplc="08090003">
      <w:start w:val="1"/>
      <w:numFmt w:val="bullet"/>
      <w:lvlText w:val="o"/>
      <w:lvlJc w:val="left"/>
      <w:pPr>
        <w:ind w:left="3210" w:hanging="360"/>
      </w:pPr>
      <w:rPr>
        <w:rFonts w:ascii="Courier New" w:hAnsi="Courier New" w:cs="Courier New" w:hint="default"/>
      </w:rPr>
    </w:lvl>
    <w:lvl w:ilvl="5" w:tplc="08090005">
      <w:start w:val="1"/>
      <w:numFmt w:val="bullet"/>
      <w:lvlText w:val=""/>
      <w:lvlJc w:val="left"/>
      <w:pPr>
        <w:ind w:left="3930" w:hanging="360"/>
      </w:pPr>
      <w:rPr>
        <w:rFonts w:ascii="Wingdings" w:hAnsi="Wingdings" w:hint="default"/>
      </w:rPr>
    </w:lvl>
    <w:lvl w:ilvl="6" w:tplc="08090001">
      <w:start w:val="1"/>
      <w:numFmt w:val="bullet"/>
      <w:lvlText w:val=""/>
      <w:lvlJc w:val="left"/>
      <w:pPr>
        <w:ind w:left="4650" w:hanging="360"/>
      </w:pPr>
      <w:rPr>
        <w:rFonts w:ascii="Symbol" w:hAnsi="Symbol" w:hint="default"/>
      </w:rPr>
    </w:lvl>
    <w:lvl w:ilvl="7" w:tplc="08090003">
      <w:start w:val="1"/>
      <w:numFmt w:val="bullet"/>
      <w:lvlText w:val="o"/>
      <w:lvlJc w:val="left"/>
      <w:pPr>
        <w:ind w:left="5370" w:hanging="360"/>
      </w:pPr>
      <w:rPr>
        <w:rFonts w:ascii="Courier New" w:hAnsi="Courier New" w:cs="Courier New" w:hint="default"/>
      </w:rPr>
    </w:lvl>
    <w:lvl w:ilvl="8" w:tplc="08090005">
      <w:start w:val="1"/>
      <w:numFmt w:val="bullet"/>
      <w:lvlText w:val=""/>
      <w:lvlJc w:val="left"/>
      <w:pPr>
        <w:ind w:left="6090" w:hanging="360"/>
      </w:pPr>
      <w:rPr>
        <w:rFonts w:ascii="Wingdings" w:hAnsi="Wingdings" w:hint="default"/>
      </w:rPr>
    </w:lvl>
  </w:abstractNum>
  <w:abstractNum w:abstractNumId="21" w15:restartNumberingAfterBreak="0">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4" w15:restartNumberingAfterBreak="0">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E5967"/>
    <w:multiLevelType w:val="hybridMultilevel"/>
    <w:tmpl w:val="19CE7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55B04"/>
    <w:multiLevelType w:val="hybridMultilevel"/>
    <w:tmpl w:val="F64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7CC643F"/>
    <w:multiLevelType w:val="hybridMultilevel"/>
    <w:tmpl w:val="1D187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6" w15:restartNumberingAfterBreak="0">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7" w15:restartNumberingAfterBreak="0">
    <w:nsid w:val="6657715F"/>
    <w:multiLevelType w:val="hybridMultilevel"/>
    <w:tmpl w:val="2AB2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D38E7"/>
    <w:multiLevelType w:val="hybridMultilevel"/>
    <w:tmpl w:val="9354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5962B3"/>
    <w:multiLevelType w:val="hybridMultilevel"/>
    <w:tmpl w:val="88C2D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2"/>
  </w:num>
  <w:num w:numId="3">
    <w:abstractNumId w:val="14"/>
  </w:num>
  <w:num w:numId="4">
    <w:abstractNumId w:val="30"/>
  </w:num>
  <w:num w:numId="5">
    <w:abstractNumId w:val="28"/>
  </w:num>
  <w:num w:numId="6">
    <w:abstractNumId w:val="40"/>
  </w:num>
  <w:num w:numId="7">
    <w:abstractNumId w:val="22"/>
  </w:num>
  <w:num w:numId="8">
    <w:abstractNumId w:val="17"/>
  </w:num>
  <w:num w:numId="9">
    <w:abstractNumId w:val="1"/>
  </w:num>
  <w:num w:numId="10">
    <w:abstractNumId w:val="15"/>
  </w:num>
  <w:num w:numId="11">
    <w:abstractNumId w:val="35"/>
  </w:num>
  <w:num w:numId="12">
    <w:abstractNumId w:val="29"/>
  </w:num>
  <w:num w:numId="13">
    <w:abstractNumId w:val="39"/>
  </w:num>
  <w:num w:numId="14">
    <w:abstractNumId w:val="45"/>
  </w:num>
  <w:num w:numId="15">
    <w:abstractNumId w:val="24"/>
  </w:num>
  <w:num w:numId="16">
    <w:abstractNumId w:val="44"/>
  </w:num>
  <w:num w:numId="17">
    <w:abstractNumId w:val="41"/>
  </w:num>
  <w:num w:numId="18">
    <w:abstractNumId w:val="21"/>
  </w:num>
  <w:num w:numId="19">
    <w:abstractNumId w:val="32"/>
  </w:num>
  <w:num w:numId="20">
    <w:abstractNumId w:val="46"/>
  </w:num>
  <w:num w:numId="21">
    <w:abstractNumId w:val="7"/>
  </w:num>
  <w:num w:numId="22">
    <w:abstractNumId w:val="16"/>
  </w:num>
  <w:num w:numId="23">
    <w:abstractNumId w:val="20"/>
  </w:num>
  <w:num w:numId="24">
    <w:abstractNumId w:val="11"/>
  </w:num>
  <w:num w:numId="25">
    <w:abstractNumId w:val="36"/>
  </w:num>
  <w:num w:numId="26">
    <w:abstractNumId w:val="19"/>
  </w:num>
  <w:num w:numId="27">
    <w:abstractNumId w:val="43"/>
  </w:num>
  <w:num w:numId="28">
    <w:abstractNumId w:val="2"/>
  </w:num>
  <w:num w:numId="29">
    <w:abstractNumId w:val="18"/>
  </w:num>
  <w:num w:numId="30">
    <w:abstractNumId w:val="23"/>
  </w:num>
  <w:num w:numId="31">
    <w:abstractNumId w:val="6"/>
  </w:num>
  <w:num w:numId="32">
    <w:abstractNumId w:val="34"/>
  </w:num>
  <w:num w:numId="33">
    <w:abstractNumId w:val="25"/>
  </w:num>
  <w:num w:numId="34">
    <w:abstractNumId w:val="33"/>
  </w:num>
  <w:num w:numId="35">
    <w:abstractNumId w:val="10"/>
  </w:num>
  <w:num w:numId="36">
    <w:abstractNumId w:val="5"/>
  </w:num>
  <w:num w:numId="37">
    <w:abstractNumId w:val="42"/>
  </w:num>
  <w:num w:numId="38">
    <w:abstractNumId w:val="3"/>
  </w:num>
  <w:num w:numId="39">
    <w:abstractNumId w:val="31"/>
  </w:num>
  <w:num w:numId="40">
    <w:abstractNumId w:val="26"/>
  </w:num>
  <w:num w:numId="41">
    <w:abstractNumId w:val="8"/>
  </w:num>
  <w:num w:numId="42">
    <w:abstractNumId w:val="13"/>
  </w:num>
  <w:num w:numId="43">
    <w:abstractNumId w:val="38"/>
  </w:num>
  <w:num w:numId="44">
    <w:abstractNumId w:val="4"/>
  </w:num>
  <w:num w:numId="45">
    <w:abstractNumId w:val="27"/>
  </w:num>
  <w:num w:numId="46">
    <w:abstractNumId w:val="37"/>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4D"/>
    <w:rsid w:val="00000836"/>
    <w:rsid w:val="000030A0"/>
    <w:rsid w:val="00005681"/>
    <w:rsid w:val="00006806"/>
    <w:rsid w:val="00010E78"/>
    <w:rsid w:val="000116FF"/>
    <w:rsid w:val="00011AC6"/>
    <w:rsid w:val="000150BE"/>
    <w:rsid w:val="000165BA"/>
    <w:rsid w:val="00020257"/>
    <w:rsid w:val="000209F8"/>
    <w:rsid w:val="000226F8"/>
    <w:rsid w:val="000228B1"/>
    <w:rsid w:val="00022CD2"/>
    <w:rsid w:val="0003315D"/>
    <w:rsid w:val="00035147"/>
    <w:rsid w:val="000356A2"/>
    <w:rsid w:val="000359CD"/>
    <w:rsid w:val="00035A9B"/>
    <w:rsid w:val="00035D3E"/>
    <w:rsid w:val="000372FD"/>
    <w:rsid w:val="00037810"/>
    <w:rsid w:val="0003788F"/>
    <w:rsid w:val="00041978"/>
    <w:rsid w:val="00043C00"/>
    <w:rsid w:val="00044EED"/>
    <w:rsid w:val="000512FC"/>
    <w:rsid w:val="0005377E"/>
    <w:rsid w:val="00056CEC"/>
    <w:rsid w:val="00061638"/>
    <w:rsid w:val="00064401"/>
    <w:rsid w:val="000656DC"/>
    <w:rsid w:val="000667D3"/>
    <w:rsid w:val="00066CA7"/>
    <w:rsid w:val="0007119E"/>
    <w:rsid w:val="00071C43"/>
    <w:rsid w:val="00075D32"/>
    <w:rsid w:val="000800A8"/>
    <w:rsid w:val="000811EE"/>
    <w:rsid w:val="000817F5"/>
    <w:rsid w:val="000824E5"/>
    <w:rsid w:val="00083C8A"/>
    <w:rsid w:val="00083E8E"/>
    <w:rsid w:val="00087134"/>
    <w:rsid w:val="0009116E"/>
    <w:rsid w:val="0009308A"/>
    <w:rsid w:val="00094258"/>
    <w:rsid w:val="000943BA"/>
    <w:rsid w:val="0009459B"/>
    <w:rsid w:val="0009463D"/>
    <w:rsid w:val="00096111"/>
    <w:rsid w:val="00097027"/>
    <w:rsid w:val="000A1F5E"/>
    <w:rsid w:val="000A2EF0"/>
    <w:rsid w:val="000A470B"/>
    <w:rsid w:val="000A59AB"/>
    <w:rsid w:val="000A6248"/>
    <w:rsid w:val="000A6DFC"/>
    <w:rsid w:val="000A6EFA"/>
    <w:rsid w:val="000B2944"/>
    <w:rsid w:val="000B58DA"/>
    <w:rsid w:val="000C2B40"/>
    <w:rsid w:val="000C3F41"/>
    <w:rsid w:val="000C3F42"/>
    <w:rsid w:val="000C5C80"/>
    <w:rsid w:val="000C5DA1"/>
    <w:rsid w:val="000C61B2"/>
    <w:rsid w:val="000C7E80"/>
    <w:rsid w:val="000D3836"/>
    <w:rsid w:val="000D4F74"/>
    <w:rsid w:val="000E3982"/>
    <w:rsid w:val="000E3AD2"/>
    <w:rsid w:val="000E4872"/>
    <w:rsid w:val="000E6533"/>
    <w:rsid w:val="000F143C"/>
    <w:rsid w:val="000F1F36"/>
    <w:rsid w:val="000F409C"/>
    <w:rsid w:val="000F4153"/>
    <w:rsid w:val="000F699E"/>
    <w:rsid w:val="000F72BC"/>
    <w:rsid w:val="000F7B94"/>
    <w:rsid w:val="0010086E"/>
    <w:rsid w:val="00103614"/>
    <w:rsid w:val="0010447E"/>
    <w:rsid w:val="00105B32"/>
    <w:rsid w:val="00106D28"/>
    <w:rsid w:val="001135F8"/>
    <w:rsid w:val="00114E27"/>
    <w:rsid w:val="00116A1A"/>
    <w:rsid w:val="00117CE9"/>
    <w:rsid w:val="00120434"/>
    <w:rsid w:val="00123CDC"/>
    <w:rsid w:val="00130E30"/>
    <w:rsid w:val="001312CC"/>
    <w:rsid w:val="0013217E"/>
    <w:rsid w:val="001332FB"/>
    <w:rsid w:val="00133C57"/>
    <w:rsid w:val="001345A3"/>
    <w:rsid w:val="0013589B"/>
    <w:rsid w:val="001360AA"/>
    <w:rsid w:val="001404F1"/>
    <w:rsid w:val="001405B4"/>
    <w:rsid w:val="0014743B"/>
    <w:rsid w:val="001511AA"/>
    <w:rsid w:val="001552B1"/>
    <w:rsid w:val="001552CD"/>
    <w:rsid w:val="00155B6E"/>
    <w:rsid w:val="00156742"/>
    <w:rsid w:val="00160A94"/>
    <w:rsid w:val="00161381"/>
    <w:rsid w:val="0016186A"/>
    <w:rsid w:val="001662D8"/>
    <w:rsid w:val="00166F3F"/>
    <w:rsid w:val="00172CC0"/>
    <w:rsid w:val="0017358D"/>
    <w:rsid w:val="00174204"/>
    <w:rsid w:val="0018188C"/>
    <w:rsid w:val="0018256B"/>
    <w:rsid w:val="00182BE8"/>
    <w:rsid w:val="00184148"/>
    <w:rsid w:val="0018663D"/>
    <w:rsid w:val="001918F7"/>
    <w:rsid w:val="001955EA"/>
    <w:rsid w:val="00196893"/>
    <w:rsid w:val="001969A3"/>
    <w:rsid w:val="00196A57"/>
    <w:rsid w:val="001A0D94"/>
    <w:rsid w:val="001A38FB"/>
    <w:rsid w:val="001A59EF"/>
    <w:rsid w:val="001A6745"/>
    <w:rsid w:val="001A7428"/>
    <w:rsid w:val="001A773F"/>
    <w:rsid w:val="001B2395"/>
    <w:rsid w:val="001B2C67"/>
    <w:rsid w:val="001B33FC"/>
    <w:rsid w:val="001B71A6"/>
    <w:rsid w:val="001C12BA"/>
    <w:rsid w:val="001C14DE"/>
    <w:rsid w:val="001C1ACF"/>
    <w:rsid w:val="001C2953"/>
    <w:rsid w:val="001C2C32"/>
    <w:rsid w:val="001C2C5C"/>
    <w:rsid w:val="001C5873"/>
    <w:rsid w:val="001D1A03"/>
    <w:rsid w:val="001D1CE1"/>
    <w:rsid w:val="001D52EF"/>
    <w:rsid w:val="001D74A7"/>
    <w:rsid w:val="001D7CD8"/>
    <w:rsid w:val="001E7A5E"/>
    <w:rsid w:val="001F1453"/>
    <w:rsid w:val="001F236C"/>
    <w:rsid w:val="001F3827"/>
    <w:rsid w:val="001F3FA7"/>
    <w:rsid w:val="00200CC5"/>
    <w:rsid w:val="00200D9E"/>
    <w:rsid w:val="00202FCB"/>
    <w:rsid w:val="00203FC7"/>
    <w:rsid w:val="00204166"/>
    <w:rsid w:val="002059C1"/>
    <w:rsid w:val="002067B3"/>
    <w:rsid w:val="00210798"/>
    <w:rsid w:val="00211DE3"/>
    <w:rsid w:val="002128C8"/>
    <w:rsid w:val="00212B06"/>
    <w:rsid w:val="00212BCB"/>
    <w:rsid w:val="0021673D"/>
    <w:rsid w:val="002168D6"/>
    <w:rsid w:val="00217B95"/>
    <w:rsid w:val="00222D83"/>
    <w:rsid w:val="00225BFE"/>
    <w:rsid w:val="00227C81"/>
    <w:rsid w:val="00231386"/>
    <w:rsid w:val="00231A58"/>
    <w:rsid w:val="00240250"/>
    <w:rsid w:val="00240A01"/>
    <w:rsid w:val="002461BE"/>
    <w:rsid w:val="00246509"/>
    <w:rsid w:val="00250649"/>
    <w:rsid w:val="00252BD8"/>
    <w:rsid w:val="00253880"/>
    <w:rsid w:val="00260B0E"/>
    <w:rsid w:val="00263649"/>
    <w:rsid w:val="00265840"/>
    <w:rsid w:val="00265F02"/>
    <w:rsid w:val="0026668B"/>
    <w:rsid w:val="00266C36"/>
    <w:rsid w:val="002676F8"/>
    <w:rsid w:val="00270800"/>
    <w:rsid w:val="002730E7"/>
    <w:rsid w:val="00274856"/>
    <w:rsid w:val="0028360C"/>
    <w:rsid w:val="00283734"/>
    <w:rsid w:val="002853B4"/>
    <w:rsid w:val="0028751D"/>
    <w:rsid w:val="002913F5"/>
    <w:rsid w:val="00292826"/>
    <w:rsid w:val="0029355E"/>
    <w:rsid w:val="00293CF3"/>
    <w:rsid w:val="00294C46"/>
    <w:rsid w:val="002963E4"/>
    <w:rsid w:val="002A29E0"/>
    <w:rsid w:val="002A465B"/>
    <w:rsid w:val="002A79C0"/>
    <w:rsid w:val="002B0D6C"/>
    <w:rsid w:val="002B0EBA"/>
    <w:rsid w:val="002B1B9E"/>
    <w:rsid w:val="002B3272"/>
    <w:rsid w:val="002B3F3D"/>
    <w:rsid w:val="002B79FC"/>
    <w:rsid w:val="002C35AB"/>
    <w:rsid w:val="002C488C"/>
    <w:rsid w:val="002D02EC"/>
    <w:rsid w:val="002D0CDF"/>
    <w:rsid w:val="002D1E64"/>
    <w:rsid w:val="002D3219"/>
    <w:rsid w:val="002D3856"/>
    <w:rsid w:val="002D6A28"/>
    <w:rsid w:val="002E2A7E"/>
    <w:rsid w:val="002E495F"/>
    <w:rsid w:val="002E53AD"/>
    <w:rsid w:val="002E6E1B"/>
    <w:rsid w:val="002E7245"/>
    <w:rsid w:val="002E7B2E"/>
    <w:rsid w:val="002F058F"/>
    <w:rsid w:val="002F1875"/>
    <w:rsid w:val="002F327F"/>
    <w:rsid w:val="002F40E8"/>
    <w:rsid w:val="002F4319"/>
    <w:rsid w:val="002F4B34"/>
    <w:rsid w:val="002F74AE"/>
    <w:rsid w:val="002F7B75"/>
    <w:rsid w:val="00301A84"/>
    <w:rsid w:val="003072AE"/>
    <w:rsid w:val="00307477"/>
    <w:rsid w:val="003116D4"/>
    <w:rsid w:val="00312170"/>
    <w:rsid w:val="00315362"/>
    <w:rsid w:val="00320A56"/>
    <w:rsid w:val="0032749E"/>
    <w:rsid w:val="00330299"/>
    <w:rsid w:val="00330BE7"/>
    <w:rsid w:val="00332507"/>
    <w:rsid w:val="003325B6"/>
    <w:rsid w:val="0033385A"/>
    <w:rsid w:val="0033503E"/>
    <w:rsid w:val="00335660"/>
    <w:rsid w:val="00337BA1"/>
    <w:rsid w:val="00340E16"/>
    <w:rsid w:val="003473B2"/>
    <w:rsid w:val="00347697"/>
    <w:rsid w:val="00350047"/>
    <w:rsid w:val="0035020F"/>
    <w:rsid w:val="0035126E"/>
    <w:rsid w:val="003542EA"/>
    <w:rsid w:val="0035451F"/>
    <w:rsid w:val="00354C82"/>
    <w:rsid w:val="00355983"/>
    <w:rsid w:val="00356672"/>
    <w:rsid w:val="00357136"/>
    <w:rsid w:val="003605D7"/>
    <w:rsid w:val="00361BB5"/>
    <w:rsid w:val="00362BDE"/>
    <w:rsid w:val="00372049"/>
    <w:rsid w:val="003722CF"/>
    <w:rsid w:val="003725E4"/>
    <w:rsid w:val="0037288A"/>
    <w:rsid w:val="003741D2"/>
    <w:rsid w:val="00375905"/>
    <w:rsid w:val="00376B3F"/>
    <w:rsid w:val="00377013"/>
    <w:rsid w:val="00384F1A"/>
    <w:rsid w:val="00384FE9"/>
    <w:rsid w:val="0038713A"/>
    <w:rsid w:val="0038756A"/>
    <w:rsid w:val="00387A11"/>
    <w:rsid w:val="0039582D"/>
    <w:rsid w:val="0039667C"/>
    <w:rsid w:val="003979BE"/>
    <w:rsid w:val="003A197C"/>
    <w:rsid w:val="003A6887"/>
    <w:rsid w:val="003B022E"/>
    <w:rsid w:val="003B077C"/>
    <w:rsid w:val="003B4256"/>
    <w:rsid w:val="003B5461"/>
    <w:rsid w:val="003B5975"/>
    <w:rsid w:val="003B7B73"/>
    <w:rsid w:val="003C5909"/>
    <w:rsid w:val="003C712C"/>
    <w:rsid w:val="003D6B03"/>
    <w:rsid w:val="003D700B"/>
    <w:rsid w:val="003E1847"/>
    <w:rsid w:val="003E28CA"/>
    <w:rsid w:val="003E2F89"/>
    <w:rsid w:val="003E6245"/>
    <w:rsid w:val="003E7143"/>
    <w:rsid w:val="003F2659"/>
    <w:rsid w:val="003F462C"/>
    <w:rsid w:val="003F6656"/>
    <w:rsid w:val="00401946"/>
    <w:rsid w:val="00402EA9"/>
    <w:rsid w:val="004036A7"/>
    <w:rsid w:val="00411114"/>
    <w:rsid w:val="00413E26"/>
    <w:rsid w:val="00416CE0"/>
    <w:rsid w:val="00416F5F"/>
    <w:rsid w:val="00417135"/>
    <w:rsid w:val="00421CD7"/>
    <w:rsid w:val="00425754"/>
    <w:rsid w:val="004258ED"/>
    <w:rsid w:val="00425F2A"/>
    <w:rsid w:val="004331BA"/>
    <w:rsid w:val="004346DB"/>
    <w:rsid w:val="00435C74"/>
    <w:rsid w:val="00444D14"/>
    <w:rsid w:val="00444E8B"/>
    <w:rsid w:val="00445174"/>
    <w:rsid w:val="004462E2"/>
    <w:rsid w:val="004463C3"/>
    <w:rsid w:val="00447196"/>
    <w:rsid w:val="004504AB"/>
    <w:rsid w:val="0045464F"/>
    <w:rsid w:val="00454796"/>
    <w:rsid w:val="004561A9"/>
    <w:rsid w:val="004563C8"/>
    <w:rsid w:val="0045677C"/>
    <w:rsid w:val="00463DCF"/>
    <w:rsid w:val="00463E24"/>
    <w:rsid w:val="004651DF"/>
    <w:rsid w:val="00470721"/>
    <w:rsid w:val="00472F74"/>
    <w:rsid w:val="004735DB"/>
    <w:rsid w:val="0047431D"/>
    <w:rsid w:val="00474485"/>
    <w:rsid w:val="00474C82"/>
    <w:rsid w:val="00475F85"/>
    <w:rsid w:val="00476513"/>
    <w:rsid w:val="0047796B"/>
    <w:rsid w:val="004828D3"/>
    <w:rsid w:val="00484F82"/>
    <w:rsid w:val="00486412"/>
    <w:rsid w:val="00487879"/>
    <w:rsid w:val="0049003B"/>
    <w:rsid w:val="00491160"/>
    <w:rsid w:val="0049146A"/>
    <w:rsid w:val="004935F2"/>
    <w:rsid w:val="00493B65"/>
    <w:rsid w:val="00494C51"/>
    <w:rsid w:val="00496F68"/>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3B2C"/>
    <w:rsid w:val="004D4BC9"/>
    <w:rsid w:val="004D67CD"/>
    <w:rsid w:val="004E0B74"/>
    <w:rsid w:val="004F2CDD"/>
    <w:rsid w:val="004F74DE"/>
    <w:rsid w:val="004F7B45"/>
    <w:rsid w:val="005043CD"/>
    <w:rsid w:val="005044C6"/>
    <w:rsid w:val="00504B67"/>
    <w:rsid w:val="005055DD"/>
    <w:rsid w:val="00505AC7"/>
    <w:rsid w:val="005064F0"/>
    <w:rsid w:val="00507029"/>
    <w:rsid w:val="005101F7"/>
    <w:rsid w:val="00511109"/>
    <w:rsid w:val="00511643"/>
    <w:rsid w:val="00514497"/>
    <w:rsid w:val="00516995"/>
    <w:rsid w:val="00516A5C"/>
    <w:rsid w:val="00520C82"/>
    <w:rsid w:val="00521DC4"/>
    <w:rsid w:val="00523C31"/>
    <w:rsid w:val="005266AA"/>
    <w:rsid w:val="00526E3B"/>
    <w:rsid w:val="00527607"/>
    <w:rsid w:val="00530F4A"/>
    <w:rsid w:val="005313BC"/>
    <w:rsid w:val="00531A10"/>
    <w:rsid w:val="00531F1E"/>
    <w:rsid w:val="005323C6"/>
    <w:rsid w:val="0053306E"/>
    <w:rsid w:val="00533969"/>
    <w:rsid w:val="00533B94"/>
    <w:rsid w:val="00533FD2"/>
    <w:rsid w:val="005363EE"/>
    <w:rsid w:val="00536C64"/>
    <w:rsid w:val="00541DC1"/>
    <w:rsid w:val="005473BF"/>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124D"/>
    <w:rsid w:val="00583B45"/>
    <w:rsid w:val="005905C2"/>
    <w:rsid w:val="005917AE"/>
    <w:rsid w:val="005925B6"/>
    <w:rsid w:val="0059435D"/>
    <w:rsid w:val="005976C4"/>
    <w:rsid w:val="005A17F5"/>
    <w:rsid w:val="005A38B3"/>
    <w:rsid w:val="005A5B9F"/>
    <w:rsid w:val="005A664C"/>
    <w:rsid w:val="005A6E92"/>
    <w:rsid w:val="005B0232"/>
    <w:rsid w:val="005B1F5F"/>
    <w:rsid w:val="005B2AF6"/>
    <w:rsid w:val="005B3506"/>
    <w:rsid w:val="005B360C"/>
    <w:rsid w:val="005B3C80"/>
    <w:rsid w:val="005B45AA"/>
    <w:rsid w:val="005B6F0C"/>
    <w:rsid w:val="005C113A"/>
    <w:rsid w:val="005C4131"/>
    <w:rsid w:val="005D33C2"/>
    <w:rsid w:val="005D3F27"/>
    <w:rsid w:val="005D44A4"/>
    <w:rsid w:val="005D4C4D"/>
    <w:rsid w:val="005D546F"/>
    <w:rsid w:val="005D6148"/>
    <w:rsid w:val="005D65ED"/>
    <w:rsid w:val="005D6C51"/>
    <w:rsid w:val="005D6DCA"/>
    <w:rsid w:val="005E0A67"/>
    <w:rsid w:val="005E0B00"/>
    <w:rsid w:val="005E6017"/>
    <w:rsid w:val="005E6CC6"/>
    <w:rsid w:val="005E7711"/>
    <w:rsid w:val="005F14EF"/>
    <w:rsid w:val="005F174D"/>
    <w:rsid w:val="005F37A5"/>
    <w:rsid w:val="005F4140"/>
    <w:rsid w:val="005F51D1"/>
    <w:rsid w:val="005F7D21"/>
    <w:rsid w:val="0060084B"/>
    <w:rsid w:val="00600995"/>
    <w:rsid w:val="00601057"/>
    <w:rsid w:val="006025A3"/>
    <w:rsid w:val="00603981"/>
    <w:rsid w:val="00603BED"/>
    <w:rsid w:val="00603E8E"/>
    <w:rsid w:val="00607866"/>
    <w:rsid w:val="0061079E"/>
    <w:rsid w:val="00612AFA"/>
    <w:rsid w:val="0061340A"/>
    <w:rsid w:val="00613D43"/>
    <w:rsid w:val="00616AE3"/>
    <w:rsid w:val="006173D8"/>
    <w:rsid w:val="00621B9B"/>
    <w:rsid w:val="006251C1"/>
    <w:rsid w:val="006251E9"/>
    <w:rsid w:val="00630917"/>
    <w:rsid w:val="0063166B"/>
    <w:rsid w:val="00632B72"/>
    <w:rsid w:val="00632DBB"/>
    <w:rsid w:val="00632FB7"/>
    <w:rsid w:val="00635911"/>
    <w:rsid w:val="00637BA2"/>
    <w:rsid w:val="00644FE8"/>
    <w:rsid w:val="006454CD"/>
    <w:rsid w:val="006457F2"/>
    <w:rsid w:val="0065305B"/>
    <w:rsid w:val="00654A79"/>
    <w:rsid w:val="00656E91"/>
    <w:rsid w:val="00660097"/>
    <w:rsid w:val="00662A0F"/>
    <w:rsid w:val="006675E7"/>
    <w:rsid w:val="00670340"/>
    <w:rsid w:val="00675C69"/>
    <w:rsid w:val="00676008"/>
    <w:rsid w:val="00676698"/>
    <w:rsid w:val="00676B7F"/>
    <w:rsid w:val="0067789A"/>
    <w:rsid w:val="00677B45"/>
    <w:rsid w:val="00682D25"/>
    <w:rsid w:val="00683022"/>
    <w:rsid w:val="0068485E"/>
    <w:rsid w:val="00685A57"/>
    <w:rsid w:val="00687F6F"/>
    <w:rsid w:val="0069059C"/>
    <w:rsid w:val="00691981"/>
    <w:rsid w:val="0069250F"/>
    <w:rsid w:val="00692773"/>
    <w:rsid w:val="00692CAE"/>
    <w:rsid w:val="00693ED6"/>
    <w:rsid w:val="006944FC"/>
    <w:rsid w:val="00697879"/>
    <w:rsid w:val="006A47DD"/>
    <w:rsid w:val="006A5AA7"/>
    <w:rsid w:val="006A5B5A"/>
    <w:rsid w:val="006A651A"/>
    <w:rsid w:val="006A69C2"/>
    <w:rsid w:val="006A7B91"/>
    <w:rsid w:val="006B0EF4"/>
    <w:rsid w:val="006B2096"/>
    <w:rsid w:val="006B32FB"/>
    <w:rsid w:val="006B3A3A"/>
    <w:rsid w:val="006C24A9"/>
    <w:rsid w:val="006C7363"/>
    <w:rsid w:val="006D13DC"/>
    <w:rsid w:val="006D20BA"/>
    <w:rsid w:val="006D2DD3"/>
    <w:rsid w:val="006D568C"/>
    <w:rsid w:val="006D645E"/>
    <w:rsid w:val="006D7D0D"/>
    <w:rsid w:val="006E1B35"/>
    <w:rsid w:val="006E1B5A"/>
    <w:rsid w:val="006E1BC3"/>
    <w:rsid w:val="006E2570"/>
    <w:rsid w:val="006E36F3"/>
    <w:rsid w:val="006E3831"/>
    <w:rsid w:val="006E44BB"/>
    <w:rsid w:val="006E5DE8"/>
    <w:rsid w:val="006E67C4"/>
    <w:rsid w:val="006F3808"/>
    <w:rsid w:val="006F4BA2"/>
    <w:rsid w:val="006F5910"/>
    <w:rsid w:val="006F7F88"/>
    <w:rsid w:val="00701296"/>
    <w:rsid w:val="00701D7D"/>
    <w:rsid w:val="00704730"/>
    <w:rsid w:val="007053CF"/>
    <w:rsid w:val="00706224"/>
    <w:rsid w:val="00706CF4"/>
    <w:rsid w:val="007070D0"/>
    <w:rsid w:val="00710466"/>
    <w:rsid w:val="00710A17"/>
    <w:rsid w:val="007137F7"/>
    <w:rsid w:val="00714894"/>
    <w:rsid w:val="007154CE"/>
    <w:rsid w:val="00722542"/>
    <w:rsid w:val="0072307E"/>
    <w:rsid w:val="007232A2"/>
    <w:rsid w:val="007233AC"/>
    <w:rsid w:val="0072591D"/>
    <w:rsid w:val="00725F26"/>
    <w:rsid w:val="00727179"/>
    <w:rsid w:val="00727ED1"/>
    <w:rsid w:val="00732106"/>
    <w:rsid w:val="0073278E"/>
    <w:rsid w:val="00740F03"/>
    <w:rsid w:val="00741810"/>
    <w:rsid w:val="00741EFA"/>
    <w:rsid w:val="007427D4"/>
    <w:rsid w:val="00745794"/>
    <w:rsid w:val="00752C6B"/>
    <w:rsid w:val="0075386D"/>
    <w:rsid w:val="00753A97"/>
    <w:rsid w:val="007607D5"/>
    <w:rsid w:val="00760922"/>
    <w:rsid w:val="007627A8"/>
    <w:rsid w:val="00764079"/>
    <w:rsid w:val="00766998"/>
    <w:rsid w:val="00767EDD"/>
    <w:rsid w:val="0077104B"/>
    <w:rsid w:val="00771F55"/>
    <w:rsid w:val="00773961"/>
    <w:rsid w:val="0077438A"/>
    <w:rsid w:val="0077440D"/>
    <w:rsid w:val="00774644"/>
    <w:rsid w:val="007756E5"/>
    <w:rsid w:val="00775A30"/>
    <w:rsid w:val="00777F68"/>
    <w:rsid w:val="00777FC6"/>
    <w:rsid w:val="007805A4"/>
    <w:rsid w:val="00782342"/>
    <w:rsid w:val="0078409C"/>
    <w:rsid w:val="007A4B85"/>
    <w:rsid w:val="007A68B2"/>
    <w:rsid w:val="007B045C"/>
    <w:rsid w:val="007B314C"/>
    <w:rsid w:val="007B31EE"/>
    <w:rsid w:val="007B753F"/>
    <w:rsid w:val="007C04F9"/>
    <w:rsid w:val="007C1DC6"/>
    <w:rsid w:val="007C2DEB"/>
    <w:rsid w:val="007C6046"/>
    <w:rsid w:val="007C63CC"/>
    <w:rsid w:val="007D13DA"/>
    <w:rsid w:val="007D331D"/>
    <w:rsid w:val="007D33FE"/>
    <w:rsid w:val="007E1B08"/>
    <w:rsid w:val="007E2EFA"/>
    <w:rsid w:val="007E4211"/>
    <w:rsid w:val="007E61CA"/>
    <w:rsid w:val="007F1631"/>
    <w:rsid w:val="007F3944"/>
    <w:rsid w:val="007F5272"/>
    <w:rsid w:val="007F5BF2"/>
    <w:rsid w:val="007F6BF9"/>
    <w:rsid w:val="007F6E5E"/>
    <w:rsid w:val="007F76F2"/>
    <w:rsid w:val="00802361"/>
    <w:rsid w:val="00805DF6"/>
    <w:rsid w:val="0080618D"/>
    <w:rsid w:val="00811D8A"/>
    <w:rsid w:val="0081298E"/>
    <w:rsid w:val="0081475D"/>
    <w:rsid w:val="00814BB4"/>
    <w:rsid w:val="00815488"/>
    <w:rsid w:val="00815552"/>
    <w:rsid w:val="00815E85"/>
    <w:rsid w:val="00821EB6"/>
    <w:rsid w:val="00822013"/>
    <w:rsid w:val="00822B33"/>
    <w:rsid w:val="0082449A"/>
    <w:rsid w:val="00824A81"/>
    <w:rsid w:val="008306D4"/>
    <w:rsid w:val="008346CA"/>
    <w:rsid w:val="00834BCC"/>
    <w:rsid w:val="00835AFC"/>
    <w:rsid w:val="0083795F"/>
    <w:rsid w:val="0084035D"/>
    <w:rsid w:val="00843C94"/>
    <w:rsid w:val="008450D2"/>
    <w:rsid w:val="008455D5"/>
    <w:rsid w:val="008468E4"/>
    <w:rsid w:val="00846DC5"/>
    <w:rsid w:val="008503F9"/>
    <w:rsid w:val="00851BB4"/>
    <w:rsid w:val="008520F0"/>
    <w:rsid w:val="0085475D"/>
    <w:rsid w:val="00855B96"/>
    <w:rsid w:val="00863D3D"/>
    <w:rsid w:val="00867E3D"/>
    <w:rsid w:val="00867F2F"/>
    <w:rsid w:val="00871681"/>
    <w:rsid w:val="008730D8"/>
    <w:rsid w:val="00873E9C"/>
    <w:rsid w:val="0087523F"/>
    <w:rsid w:val="00877246"/>
    <w:rsid w:val="00877A3D"/>
    <w:rsid w:val="0088093B"/>
    <w:rsid w:val="0088314C"/>
    <w:rsid w:val="00885D91"/>
    <w:rsid w:val="008919F7"/>
    <w:rsid w:val="00891DC1"/>
    <w:rsid w:val="00895AE4"/>
    <w:rsid w:val="00896ADF"/>
    <w:rsid w:val="008979AF"/>
    <w:rsid w:val="008A4353"/>
    <w:rsid w:val="008A7BD9"/>
    <w:rsid w:val="008B286F"/>
    <w:rsid w:val="008B29A7"/>
    <w:rsid w:val="008B50EA"/>
    <w:rsid w:val="008C1A0F"/>
    <w:rsid w:val="008C1BB8"/>
    <w:rsid w:val="008C526A"/>
    <w:rsid w:val="008C5290"/>
    <w:rsid w:val="008C5C1C"/>
    <w:rsid w:val="008C662A"/>
    <w:rsid w:val="008C746F"/>
    <w:rsid w:val="008D3203"/>
    <w:rsid w:val="008D33D7"/>
    <w:rsid w:val="008D3CE1"/>
    <w:rsid w:val="008D615C"/>
    <w:rsid w:val="008D6AAC"/>
    <w:rsid w:val="008E001F"/>
    <w:rsid w:val="008E09D0"/>
    <w:rsid w:val="008E0C9D"/>
    <w:rsid w:val="008E1145"/>
    <w:rsid w:val="008E285A"/>
    <w:rsid w:val="008E5A73"/>
    <w:rsid w:val="008F2687"/>
    <w:rsid w:val="008F289B"/>
    <w:rsid w:val="008F2A4E"/>
    <w:rsid w:val="008F3C98"/>
    <w:rsid w:val="008F4DA3"/>
    <w:rsid w:val="008F67EF"/>
    <w:rsid w:val="008F6ADE"/>
    <w:rsid w:val="008F7B19"/>
    <w:rsid w:val="00900C7F"/>
    <w:rsid w:val="00901C1C"/>
    <w:rsid w:val="00903458"/>
    <w:rsid w:val="00903C3C"/>
    <w:rsid w:val="0090420B"/>
    <w:rsid w:val="0090431F"/>
    <w:rsid w:val="009051BE"/>
    <w:rsid w:val="00910CFB"/>
    <w:rsid w:val="0091176F"/>
    <w:rsid w:val="00912361"/>
    <w:rsid w:val="0091416F"/>
    <w:rsid w:val="009142E5"/>
    <w:rsid w:val="00915EC3"/>
    <w:rsid w:val="009176DB"/>
    <w:rsid w:val="00922818"/>
    <w:rsid w:val="00922EBF"/>
    <w:rsid w:val="00923F39"/>
    <w:rsid w:val="00926E63"/>
    <w:rsid w:val="009277C6"/>
    <w:rsid w:val="009306D9"/>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093A"/>
    <w:rsid w:val="009538B4"/>
    <w:rsid w:val="0096047C"/>
    <w:rsid w:val="00960DA0"/>
    <w:rsid w:val="009620A8"/>
    <w:rsid w:val="00963A30"/>
    <w:rsid w:val="00963C54"/>
    <w:rsid w:val="00964509"/>
    <w:rsid w:val="0096633B"/>
    <w:rsid w:val="00966BBE"/>
    <w:rsid w:val="0096749E"/>
    <w:rsid w:val="00971E0D"/>
    <w:rsid w:val="009723ED"/>
    <w:rsid w:val="00972FEF"/>
    <w:rsid w:val="00975552"/>
    <w:rsid w:val="00976E30"/>
    <w:rsid w:val="00977CFC"/>
    <w:rsid w:val="0098273F"/>
    <w:rsid w:val="00986C1F"/>
    <w:rsid w:val="009878B0"/>
    <w:rsid w:val="00993A4E"/>
    <w:rsid w:val="00995E4A"/>
    <w:rsid w:val="009A17A3"/>
    <w:rsid w:val="009A2E92"/>
    <w:rsid w:val="009B17D6"/>
    <w:rsid w:val="009B2610"/>
    <w:rsid w:val="009B2ED0"/>
    <w:rsid w:val="009B3D3E"/>
    <w:rsid w:val="009B5A72"/>
    <w:rsid w:val="009C004C"/>
    <w:rsid w:val="009C4401"/>
    <w:rsid w:val="009C5BBB"/>
    <w:rsid w:val="009C740E"/>
    <w:rsid w:val="009D1B9C"/>
    <w:rsid w:val="009D24DB"/>
    <w:rsid w:val="009D3912"/>
    <w:rsid w:val="009D3FFE"/>
    <w:rsid w:val="009D48EA"/>
    <w:rsid w:val="009D6722"/>
    <w:rsid w:val="009D7937"/>
    <w:rsid w:val="009E0956"/>
    <w:rsid w:val="009E0A5A"/>
    <w:rsid w:val="009E34F6"/>
    <w:rsid w:val="009E3A73"/>
    <w:rsid w:val="009E3CF2"/>
    <w:rsid w:val="009E68A1"/>
    <w:rsid w:val="009E6D5E"/>
    <w:rsid w:val="009F6875"/>
    <w:rsid w:val="009F6D40"/>
    <w:rsid w:val="00A01542"/>
    <w:rsid w:val="00A01D6B"/>
    <w:rsid w:val="00A01F57"/>
    <w:rsid w:val="00A0239C"/>
    <w:rsid w:val="00A02990"/>
    <w:rsid w:val="00A03ABB"/>
    <w:rsid w:val="00A03DB2"/>
    <w:rsid w:val="00A04E24"/>
    <w:rsid w:val="00A05786"/>
    <w:rsid w:val="00A06DE4"/>
    <w:rsid w:val="00A10B89"/>
    <w:rsid w:val="00A113DE"/>
    <w:rsid w:val="00A125AF"/>
    <w:rsid w:val="00A20074"/>
    <w:rsid w:val="00A21178"/>
    <w:rsid w:val="00A21C28"/>
    <w:rsid w:val="00A22192"/>
    <w:rsid w:val="00A24256"/>
    <w:rsid w:val="00A27069"/>
    <w:rsid w:val="00A27C2D"/>
    <w:rsid w:val="00A27DE5"/>
    <w:rsid w:val="00A32774"/>
    <w:rsid w:val="00A32A7B"/>
    <w:rsid w:val="00A3538B"/>
    <w:rsid w:val="00A3600C"/>
    <w:rsid w:val="00A36D0D"/>
    <w:rsid w:val="00A4088F"/>
    <w:rsid w:val="00A40943"/>
    <w:rsid w:val="00A41A17"/>
    <w:rsid w:val="00A4396F"/>
    <w:rsid w:val="00A45B2E"/>
    <w:rsid w:val="00A45D10"/>
    <w:rsid w:val="00A47911"/>
    <w:rsid w:val="00A47CCA"/>
    <w:rsid w:val="00A5009A"/>
    <w:rsid w:val="00A50E23"/>
    <w:rsid w:val="00A51044"/>
    <w:rsid w:val="00A54119"/>
    <w:rsid w:val="00A548E1"/>
    <w:rsid w:val="00A566D4"/>
    <w:rsid w:val="00A5716A"/>
    <w:rsid w:val="00A60507"/>
    <w:rsid w:val="00A60E0E"/>
    <w:rsid w:val="00A617AE"/>
    <w:rsid w:val="00A61B39"/>
    <w:rsid w:val="00A64331"/>
    <w:rsid w:val="00A65250"/>
    <w:rsid w:val="00A72960"/>
    <w:rsid w:val="00A747AF"/>
    <w:rsid w:val="00A7570E"/>
    <w:rsid w:val="00A75747"/>
    <w:rsid w:val="00A765CE"/>
    <w:rsid w:val="00A77C53"/>
    <w:rsid w:val="00A80CBD"/>
    <w:rsid w:val="00A8286B"/>
    <w:rsid w:val="00A840F5"/>
    <w:rsid w:val="00A87892"/>
    <w:rsid w:val="00A902E5"/>
    <w:rsid w:val="00A905DF"/>
    <w:rsid w:val="00A91CBA"/>
    <w:rsid w:val="00A96EAB"/>
    <w:rsid w:val="00A97EDB"/>
    <w:rsid w:val="00AA082E"/>
    <w:rsid w:val="00AA5C80"/>
    <w:rsid w:val="00AA601A"/>
    <w:rsid w:val="00AA7C75"/>
    <w:rsid w:val="00AB1A3D"/>
    <w:rsid w:val="00AB1B1F"/>
    <w:rsid w:val="00AC3B83"/>
    <w:rsid w:val="00AC4B4B"/>
    <w:rsid w:val="00AC5820"/>
    <w:rsid w:val="00AC616F"/>
    <w:rsid w:val="00AC6D86"/>
    <w:rsid w:val="00AD08CE"/>
    <w:rsid w:val="00AD0F68"/>
    <w:rsid w:val="00AD3823"/>
    <w:rsid w:val="00AD6B0C"/>
    <w:rsid w:val="00AE0538"/>
    <w:rsid w:val="00AE08A9"/>
    <w:rsid w:val="00AE12E9"/>
    <w:rsid w:val="00AE1C6D"/>
    <w:rsid w:val="00AE1E8F"/>
    <w:rsid w:val="00AE7A4F"/>
    <w:rsid w:val="00AF08EC"/>
    <w:rsid w:val="00AF5A15"/>
    <w:rsid w:val="00AF7455"/>
    <w:rsid w:val="00AF79B7"/>
    <w:rsid w:val="00B05FE6"/>
    <w:rsid w:val="00B06974"/>
    <w:rsid w:val="00B10289"/>
    <w:rsid w:val="00B10960"/>
    <w:rsid w:val="00B10A93"/>
    <w:rsid w:val="00B10F8A"/>
    <w:rsid w:val="00B11021"/>
    <w:rsid w:val="00B13022"/>
    <w:rsid w:val="00B1424E"/>
    <w:rsid w:val="00B17A5F"/>
    <w:rsid w:val="00B17BB1"/>
    <w:rsid w:val="00B227BD"/>
    <w:rsid w:val="00B23FD9"/>
    <w:rsid w:val="00B25DD0"/>
    <w:rsid w:val="00B318DD"/>
    <w:rsid w:val="00B35A8C"/>
    <w:rsid w:val="00B35F74"/>
    <w:rsid w:val="00B4694E"/>
    <w:rsid w:val="00B47371"/>
    <w:rsid w:val="00B4776F"/>
    <w:rsid w:val="00B47AD5"/>
    <w:rsid w:val="00B50F81"/>
    <w:rsid w:val="00B51B7C"/>
    <w:rsid w:val="00B53055"/>
    <w:rsid w:val="00B53EF8"/>
    <w:rsid w:val="00B5477F"/>
    <w:rsid w:val="00B5509D"/>
    <w:rsid w:val="00B56739"/>
    <w:rsid w:val="00B60D6F"/>
    <w:rsid w:val="00B647CA"/>
    <w:rsid w:val="00B64C35"/>
    <w:rsid w:val="00B65D7B"/>
    <w:rsid w:val="00B65F09"/>
    <w:rsid w:val="00B66EEC"/>
    <w:rsid w:val="00B72E67"/>
    <w:rsid w:val="00B72FD0"/>
    <w:rsid w:val="00B73F00"/>
    <w:rsid w:val="00B7705C"/>
    <w:rsid w:val="00B77C83"/>
    <w:rsid w:val="00B80F0F"/>
    <w:rsid w:val="00B822CF"/>
    <w:rsid w:val="00B8308C"/>
    <w:rsid w:val="00B84406"/>
    <w:rsid w:val="00B84E42"/>
    <w:rsid w:val="00B8588B"/>
    <w:rsid w:val="00B86D66"/>
    <w:rsid w:val="00B876E7"/>
    <w:rsid w:val="00B907B4"/>
    <w:rsid w:val="00B92D4E"/>
    <w:rsid w:val="00B93406"/>
    <w:rsid w:val="00B949C8"/>
    <w:rsid w:val="00B94A04"/>
    <w:rsid w:val="00BA0E6F"/>
    <w:rsid w:val="00BA1074"/>
    <w:rsid w:val="00BA2714"/>
    <w:rsid w:val="00BA2E9D"/>
    <w:rsid w:val="00BA385D"/>
    <w:rsid w:val="00BA565A"/>
    <w:rsid w:val="00BB595D"/>
    <w:rsid w:val="00BB69D8"/>
    <w:rsid w:val="00BB77BA"/>
    <w:rsid w:val="00BB7C03"/>
    <w:rsid w:val="00BC10D1"/>
    <w:rsid w:val="00BC3C81"/>
    <w:rsid w:val="00BC4034"/>
    <w:rsid w:val="00BC4F0A"/>
    <w:rsid w:val="00BC5060"/>
    <w:rsid w:val="00BC75F6"/>
    <w:rsid w:val="00BD0C4A"/>
    <w:rsid w:val="00BD2CF5"/>
    <w:rsid w:val="00BD2F94"/>
    <w:rsid w:val="00BD3B30"/>
    <w:rsid w:val="00BD4A81"/>
    <w:rsid w:val="00BD668C"/>
    <w:rsid w:val="00BD7D8B"/>
    <w:rsid w:val="00BE03C0"/>
    <w:rsid w:val="00BE0411"/>
    <w:rsid w:val="00BE052E"/>
    <w:rsid w:val="00BE45AD"/>
    <w:rsid w:val="00BE6C6D"/>
    <w:rsid w:val="00BF0264"/>
    <w:rsid w:val="00BF2C68"/>
    <w:rsid w:val="00BF345E"/>
    <w:rsid w:val="00BF5570"/>
    <w:rsid w:val="00BF6232"/>
    <w:rsid w:val="00C0207D"/>
    <w:rsid w:val="00C04168"/>
    <w:rsid w:val="00C042C7"/>
    <w:rsid w:val="00C045D2"/>
    <w:rsid w:val="00C05488"/>
    <w:rsid w:val="00C05AEE"/>
    <w:rsid w:val="00C10CA3"/>
    <w:rsid w:val="00C1367B"/>
    <w:rsid w:val="00C13FA7"/>
    <w:rsid w:val="00C15483"/>
    <w:rsid w:val="00C16F35"/>
    <w:rsid w:val="00C170ED"/>
    <w:rsid w:val="00C21B6C"/>
    <w:rsid w:val="00C23BDA"/>
    <w:rsid w:val="00C26D2B"/>
    <w:rsid w:val="00C311F3"/>
    <w:rsid w:val="00C31261"/>
    <w:rsid w:val="00C3282B"/>
    <w:rsid w:val="00C33552"/>
    <w:rsid w:val="00C33662"/>
    <w:rsid w:val="00C336E7"/>
    <w:rsid w:val="00C346DC"/>
    <w:rsid w:val="00C35C4D"/>
    <w:rsid w:val="00C3647D"/>
    <w:rsid w:val="00C37BCB"/>
    <w:rsid w:val="00C40145"/>
    <w:rsid w:val="00C40556"/>
    <w:rsid w:val="00C4135C"/>
    <w:rsid w:val="00C419D5"/>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868C7"/>
    <w:rsid w:val="00C911F2"/>
    <w:rsid w:val="00C93AF4"/>
    <w:rsid w:val="00C93F91"/>
    <w:rsid w:val="00C94258"/>
    <w:rsid w:val="00C9523E"/>
    <w:rsid w:val="00C95B34"/>
    <w:rsid w:val="00C95F06"/>
    <w:rsid w:val="00C9711C"/>
    <w:rsid w:val="00CA1188"/>
    <w:rsid w:val="00CA1732"/>
    <w:rsid w:val="00CA2DFA"/>
    <w:rsid w:val="00CA3AC5"/>
    <w:rsid w:val="00CA49DB"/>
    <w:rsid w:val="00CA6FEE"/>
    <w:rsid w:val="00CA7E5E"/>
    <w:rsid w:val="00CB09C1"/>
    <w:rsid w:val="00CB0A60"/>
    <w:rsid w:val="00CB1A6F"/>
    <w:rsid w:val="00CB1DA6"/>
    <w:rsid w:val="00CB5086"/>
    <w:rsid w:val="00CB5642"/>
    <w:rsid w:val="00CB6B73"/>
    <w:rsid w:val="00CC0430"/>
    <w:rsid w:val="00CC1BAC"/>
    <w:rsid w:val="00CC2F8A"/>
    <w:rsid w:val="00CC37F9"/>
    <w:rsid w:val="00CC3908"/>
    <w:rsid w:val="00CC5782"/>
    <w:rsid w:val="00CC6318"/>
    <w:rsid w:val="00CC77AF"/>
    <w:rsid w:val="00CD0532"/>
    <w:rsid w:val="00CD3C50"/>
    <w:rsid w:val="00CD4C5D"/>
    <w:rsid w:val="00CD51DA"/>
    <w:rsid w:val="00CE3DFC"/>
    <w:rsid w:val="00CE4198"/>
    <w:rsid w:val="00CE493A"/>
    <w:rsid w:val="00CE5596"/>
    <w:rsid w:val="00CF06EE"/>
    <w:rsid w:val="00CF6B23"/>
    <w:rsid w:val="00CF6FA6"/>
    <w:rsid w:val="00CF76AC"/>
    <w:rsid w:val="00CF78C5"/>
    <w:rsid w:val="00D011C2"/>
    <w:rsid w:val="00D01657"/>
    <w:rsid w:val="00D02089"/>
    <w:rsid w:val="00D07007"/>
    <w:rsid w:val="00D1078F"/>
    <w:rsid w:val="00D11B33"/>
    <w:rsid w:val="00D23339"/>
    <w:rsid w:val="00D23B19"/>
    <w:rsid w:val="00D24E43"/>
    <w:rsid w:val="00D30906"/>
    <w:rsid w:val="00D3115F"/>
    <w:rsid w:val="00D324EB"/>
    <w:rsid w:val="00D327A9"/>
    <w:rsid w:val="00D3500F"/>
    <w:rsid w:val="00D37C3B"/>
    <w:rsid w:val="00D37EC9"/>
    <w:rsid w:val="00D407AF"/>
    <w:rsid w:val="00D424B6"/>
    <w:rsid w:val="00D427F5"/>
    <w:rsid w:val="00D44004"/>
    <w:rsid w:val="00D44679"/>
    <w:rsid w:val="00D46E89"/>
    <w:rsid w:val="00D5019E"/>
    <w:rsid w:val="00D52515"/>
    <w:rsid w:val="00D52D74"/>
    <w:rsid w:val="00D54FA9"/>
    <w:rsid w:val="00D555A4"/>
    <w:rsid w:val="00D55B7F"/>
    <w:rsid w:val="00D60224"/>
    <w:rsid w:val="00D73706"/>
    <w:rsid w:val="00D74C9D"/>
    <w:rsid w:val="00D7540A"/>
    <w:rsid w:val="00D75E4E"/>
    <w:rsid w:val="00D836FB"/>
    <w:rsid w:val="00D84446"/>
    <w:rsid w:val="00D90D6C"/>
    <w:rsid w:val="00DA0D01"/>
    <w:rsid w:val="00DA2561"/>
    <w:rsid w:val="00DA3392"/>
    <w:rsid w:val="00DA5C21"/>
    <w:rsid w:val="00DA67C6"/>
    <w:rsid w:val="00DA7454"/>
    <w:rsid w:val="00DB3198"/>
    <w:rsid w:val="00DB47F9"/>
    <w:rsid w:val="00DB6773"/>
    <w:rsid w:val="00DC1D23"/>
    <w:rsid w:val="00DC4CD4"/>
    <w:rsid w:val="00DC7F06"/>
    <w:rsid w:val="00DD03DF"/>
    <w:rsid w:val="00DD2A1D"/>
    <w:rsid w:val="00DD3E77"/>
    <w:rsid w:val="00DD64C0"/>
    <w:rsid w:val="00DD7187"/>
    <w:rsid w:val="00DE11B2"/>
    <w:rsid w:val="00DE437B"/>
    <w:rsid w:val="00DE43A1"/>
    <w:rsid w:val="00DE45FB"/>
    <w:rsid w:val="00DE5CF6"/>
    <w:rsid w:val="00DE6018"/>
    <w:rsid w:val="00DE6771"/>
    <w:rsid w:val="00DF0561"/>
    <w:rsid w:val="00DF0BD7"/>
    <w:rsid w:val="00DF0DF1"/>
    <w:rsid w:val="00DF2670"/>
    <w:rsid w:val="00DF2BEC"/>
    <w:rsid w:val="00DF3A9F"/>
    <w:rsid w:val="00DF5454"/>
    <w:rsid w:val="00DF54D7"/>
    <w:rsid w:val="00DF72E5"/>
    <w:rsid w:val="00DF735B"/>
    <w:rsid w:val="00E03E41"/>
    <w:rsid w:val="00E04FE9"/>
    <w:rsid w:val="00E06531"/>
    <w:rsid w:val="00E14CF2"/>
    <w:rsid w:val="00E2009E"/>
    <w:rsid w:val="00E21168"/>
    <w:rsid w:val="00E21EE8"/>
    <w:rsid w:val="00E23A99"/>
    <w:rsid w:val="00E25EA4"/>
    <w:rsid w:val="00E26FB2"/>
    <w:rsid w:val="00E273E7"/>
    <w:rsid w:val="00E30012"/>
    <w:rsid w:val="00E30D73"/>
    <w:rsid w:val="00E32A3E"/>
    <w:rsid w:val="00E348F1"/>
    <w:rsid w:val="00E34CB9"/>
    <w:rsid w:val="00E355D8"/>
    <w:rsid w:val="00E36648"/>
    <w:rsid w:val="00E3691F"/>
    <w:rsid w:val="00E406B1"/>
    <w:rsid w:val="00E42DB4"/>
    <w:rsid w:val="00E44776"/>
    <w:rsid w:val="00E44D19"/>
    <w:rsid w:val="00E519E0"/>
    <w:rsid w:val="00E542C4"/>
    <w:rsid w:val="00E569B9"/>
    <w:rsid w:val="00E60CE2"/>
    <w:rsid w:val="00E60EA3"/>
    <w:rsid w:val="00E61305"/>
    <w:rsid w:val="00E620C7"/>
    <w:rsid w:val="00E62B55"/>
    <w:rsid w:val="00E6586A"/>
    <w:rsid w:val="00E721E2"/>
    <w:rsid w:val="00E7390F"/>
    <w:rsid w:val="00E73998"/>
    <w:rsid w:val="00E74B7D"/>
    <w:rsid w:val="00E83F91"/>
    <w:rsid w:val="00E863EB"/>
    <w:rsid w:val="00E87925"/>
    <w:rsid w:val="00E93A3B"/>
    <w:rsid w:val="00E9419C"/>
    <w:rsid w:val="00E959F9"/>
    <w:rsid w:val="00E9623A"/>
    <w:rsid w:val="00EA0274"/>
    <w:rsid w:val="00EA0E2B"/>
    <w:rsid w:val="00EA0EF8"/>
    <w:rsid w:val="00EA11A6"/>
    <w:rsid w:val="00EA4D64"/>
    <w:rsid w:val="00EA62A2"/>
    <w:rsid w:val="00EA6F85"/>
    <w:rsid w:val="00EB1D9C"/>
    <w:rsid w:val="00EB300C"/>
    <w:rsid w:val="00EB33C6"/>
    <w:rsid w:val="00EB5CBE"/>
    <w:rsid w:val="00EB5F90"/>
    <w:rsid w:val="00EB691B"/>
    <w:rsid w:val="00EB7189"/>
    <w:rsid w:val="00EC1C61"/>
    <w:rsid w:val="00EC2B6F"/>
    <w:rsid w:val="00EC4BF0"/>
    <w:rsid w:val="00EC4C3C"/>
    <w:rsid w:val="00EC4CED"/>
    <w:rsid w:val="00EC5640"/>
    <w:rsid w:val="00EC68ED"/>
    <w:rsid w:val="00EC7C5A"/>
    <w:rsid w:val="00ED0271"/>
    <w:rsid w:val="00ED0EEB"/>
    <w:rsid w:val="00ED14DF"/>
    <w:rsid w:val="00ED2E19"/>
    <w:rsid w:val="00ED3617"/>
    <w:rsid w:val="00ED3C21"/>
    <w:rsid w:val="00ED3D3D"/>
    <w:rsid w:val="00ED50C4"/>
    <w:rsid w:val="00ED566A"/>
    <w:rsid w:val="00ED6660"/>
    <w:rsid w:val="00ED7504"/>
    <w:rsid w:val="00ED7D23"/>
    <w:rsid w:val="00EE5600"/>
    <w:rsid w:val="00EE693B"/>
    <w:rsid w:val="00EF0FA5"/>
    <w:rsid w:val="00EF18E8"/>
    <w:rsid w:val="00EF19D5"/>
    <w:rsid w:val="00EF1FDC"/>
    <w:rsid w:val="00EF7125"/>
    <w:rsid w:val="00F001E4"/>
    <w:rsid w:val="00F02608"/>
    <w:rsid w:val="00F0304D"/>
    <w:rsid w:val="00F03EA9"/>
    <w:rsid w:val="00F05410"/>
    <w:rsid w:val="00F0793A"/>
    <w:rsid w:val="00F125B0"/>
    <w:rsid w:val="00F13865"/>
    <w:rsid w:val="00F2387F"/>
    <w:rsid w:val="00F2428F"/>
    <w:rsid w:val="00F24A83"/>
    <w:rsid w:val="00F260C7"/>
    <w:rsid w:val="00F2779C"/>
    <w:rsid w:val="00F27F1A"/>
    <w:rsid w:val="00F3018B"/>
    <w:rsid w:val="00F3031D"/>
    <w:rsid w:val="00F31074"/>
    <w:rsid w:val="00F33108"/>
    <w:rsid w:val="00F35692"/>
    <w:rsid w:val="00F41061"/>
    <w:rsid w:val="00F421EB"/>
    <w:rsid w:val="00F42C47"/>
    <w:rsid w:val="00F4522A"/>
    <w:rsid w:val="00F45CE2"/>
    <w:rsid w:val="00F5421F"/>
    <w:rsid w:val="00F54C77"/>
    <w:rsid w:val="00F54F35"/>
    <w:rsid w:val="00F555C9"/>
    <w:rsid w:val="00F6539C"/>
    <w:rsid w:val="00F65931"/>
    <w:rsid w:val="00F65A44"/>
    <w:rsid w:val="00F66A15"/>
    <w:rsid w:val="00F67BAC"/>
    <w:rsid w:val="00F70DE1"/>
    <w:rsid w:val="00F745A2"/>
    <w:rsid w:val="00F74CCF"/>
    <w:rsid w:val="00F7569D"/>
    <w:rsid w:val="00F75F74"/>
    <w:rsid w:val="00F76581"/>
    <w:rsid w:val="00F860AC"/>
    <w:rsid w:val="00F865CD"/>
    <w:rsid w:val="00F87759"/>
    <w:rsid w:val="00F916C3"/>
    <w:rsid w:val="00F920EE"/>
    <w:rsid w:val="00F932C4"/>
    <w:rsid w:val="00F93E02"/>
    <w:rsid w:val="00FA0170"/>
    <w:rsid w:val="00FA0C9F"/>
    <w:rsid w:val="00FA1CB7"/>
    <w:rsid w:val="00FA5461"/>
    <w:rsid w:val="00FA5881"/>
    <w:rsid w:val="00FB0EA2"/>
    <w:rsid w:val="00FB17C4"/>
    <w:rsid w:val="00FB20D0"/>
    <w:rsid w:val="00FB5F64"/>
    <w:rsid w:val="00FB743D"/>
    <w:rsid w:val="00FB7C22"/>
    <w:rsid w:val="00FC10A9"/>
    <w:rsid w:val="00FC454E"/>
    <w:rsid w:val="00FC4E1A"/>
    <w:rsid w:val="00FC5E67"/>
    <w:rsid w:val="00FD43E0"/>
    <w:rsid w:val="00FD54EE"/>
    <w:rsid w:val="00FD555E"/>
    <w:rsid w:val="00FD7A37"/>
    <w:rsid w:val="00FE0FFD"/>
    <w:rsid w:val="00FE1DBF"/>
    <w:rsid w:val="00FE49DE"/>
    <w:rsid w:val="00FE49E4"/>
    <w:rsid w:val="00FE561E"/>
    <w:rsid w:val="00FF128D"/>
    <w:rsid w:val="00FF187D"/>
    <w:rsid w:val="00FF5655"/>
    <w:rsid w:val="00FF67F6"/>
    <w:rsid w:val="00FF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36D18"/>
  <w15:docId w15:val="{F30F498D-827E-42C5-8B4A-D127375D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3979BE"/>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link w:val="ListParagraphChar"/>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0447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73882776">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21012850">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sh@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49AF-D58B-4AAF-83FF-086D6C92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B72D90E.dotm</Template>
  <TotalTime>14</TotalTime>
  <Pages>6</Pages>
  <Words>1921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11999</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THOMPSON Jennifer</cp:lastModifiedBy>
  <cp:revision>4</cp:revision>
  <cp:lastPrinted>2019-02-20T13:02:00Z</cp:lastPrinted>
  <dcterms:created xsi:type="dcterms:W3CDTF">2020-07-10T08:18:00Z</dcterms:created>
  <dcterms:modified xsi:type="dcterms:W3CDTF">2020-07-21T15:54:00Z</dcterms:modified>
</cp:coreProperties>
</file>